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06" w:rsidRPr="00655486" w:rsidRDefault="005D6806" w:rsidP="006554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ar-SA"/>
        </w:rPr>
      </w:pPr>
      <w:r w:rsidRPr="00655486">
        <w:rPr>
          <w:rFonts w:ascii="Times New Roman" w:hAnsi="Times New Roman" w:cs="Times New Roman"/>
          <w:b/>
          <w:sz w:val="32"/>
          <w:szCs w:val="32"/>
          <w:lang w:val="uk-UA" w:eastAsia="ar-SA"/>
        </w:rPr>
        <w:t>КІЛЬКІСНІ МЕТОДИ ОЦІНЮВАННЯ ЛОГІСТИЧНИХ РИЗИКІВ</w:t>
      </w:r>
    </w:p>
    <w:p w:rsidR="005D6806" w:rsidRPr="00172219" w:rsidRDefault="005D6806" w:rsidP="005D680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637C6C" w:rsidRDefault="005D6806" w:rsidP="001722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023CE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Постановка проблеми.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637C6C" w:rsidRPr="00637C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Застосування маркетингового інструменту надає можливість підприємству виробити продукцію, яка відповідає потребам цільового сегменту, тобто зменшити ризики зі збутом й отримати прибуток. Другим підходом, який дозволяє зменшити втрати від зберігання та переміщення матеріалів, сировини та готової продукції, є логістика. Оптимізація логістичної системи підприємства – це також механізм збільшення прибутку.</w:t>
      </w:r>
      <w:r w:rsidR="00637C6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</w:p>
    <w:p w:rsidR="005D6806" w:rsidRPr="00023CE7" w:rsidRDefault="00D27740" w:rsidP="0017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7740">
        <w:rPr>
          <w:rFonts w:ascii="Times New Roman" w:hAnsi="Times New Roman" w:cs="Times New Roman"/>
          <w:bCs/>
          <w:sz w:val="28"/>
          <w:szCs w:val="28"/>
          <w:lang w:val="uk-UA" w:eastAsia="ar-SA"/>
        </w:rPr>
        <w:t>Сучасна економіко-політична ситуація в країні робить вкрай актуальною проблему визначення, аналізу та управління ризиками на підприємстві. Як будь-яка інша діяльність, логістична діяльність також характеризується певними ризиками.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637C6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Вміння визначати ці ризики, оцінювати їх та управляти ними є необхідним для беззбиткового функціонування будь-якого підприємства. </w:t>
      </w:r>
    </w:p>
    <w:p w:rsidR="005D6806" w:rsidRDefault="005D6806" w:rsidP="0017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23CE7">
        <w:rPr>
          <w:rFonts w:ascii="Times New Roman" w:hAnsi="Times New Roman" w:cs="Times New Roman"/>
          <w:b/>
          <w:sz w:val="28"/>
          <w:szCs w:val="28"/>
          <w:lang w:val="uk-UA" w:eastAsia="ar-SA"/>
        </w:rPr>
        <w:t>Аналіз останніх досліджень і публікацій.</w:t>
      </w:r>
      <w:r w:rsidRPr="00023CE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637C6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Науковою спільнотою сьогодні розроблено великий пул класифікацій ризиків, методів оцінки ризиків, методів управління ризиками. Серед закордонних вчених відомі роботи в цьому напрямі у Р. Х. </w:t>
      </w:r>
      <w:proofErr w:type="spellStart"/>
      <w:r w:rsidR="00637C6C">
        <w:rPr>
          <w:rFonts w:ascii="Times New Roman" w:hAnsi="Times New Roman" w:cs="Times New Roman"/>
          <w:sz w:val="28"/>
          <w:szCs w:val="28"/>
          <w:lang w:val="uk-UA" w:eastAsia="ar-SA"/>
        </w:rPr>
        <w:t>Баллоу</w:t>
      </w:r>
      <w:proofErr w:type="spellEnd"/>
      <w:r w:rsidR="00637C6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</w:t>
      </w:r>
      <w:r w:rsidR="00177537" w:rsidRPr="00177537">
        <w:rPr>
          <w:rFonts w:ascii="Times New Roman" w:hAnsi="Times New Roman" w:cs="Times New Roman"/>
          <w:sz w:val="28"/>
          <w:szCs w:val="28"/>
          <w:lang w:val="uk-UA" w:eastAsia="ar-SA"/>
        </w:rPr>
        <w:t>Є. Гордон</w:t>
      </w:r>
      <w:r w:rsidR="00177537">
        <w:rPr>
          <w:rFonts w:ascii="Times New Roman" w:hAnsi="Times New Roman" w:cs="Times New Roman"/>
          <w:sz w:val="28"/>
          <w:szCs w:val="28"/>
          <w:lang w:val="uk-UA" w:eastAsia="ar-SA"/>
        </w:rPr>
        <w:t>а,</w:t>
      </w:r>
      <w:r w:rsidR="00177537" w:rsidRPr="0017753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637C6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А. </w:t>
      </w:r>
      <w:proofErr w:type="spellStart"/>
      <w:r w:rsidR="00637C6C">
        <w:rPr>
          <w:rFonts w:ascii="Times New Roman" w:hAnsi="Times New Roman" w:cs="Times New Roman"/>
          <w:sz w:val="28"/>
          <w:szCs w:val="28"/>
          <w:lang w:val="uk-UA" w:eastAsia="ar-SA"/>
        </w:rPr>
        <w:t>Харрісона</w:t>
      </w:r>
      <w:proofErr w:type="spellEnd"/>
      <w:r w:rsidR="00637C6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</w:t>
      </w:r>
      <w:r w:rsidR="00637C6C" w:rsidRPr="00637C6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Дж. </w:t>
      </w:r>
      <w:proofErr w:type="spellStart"/>
      <w:r w:rsidR="00637C6C" w:rsidRPr="00637C6C">
        <w:rPr>
          <w:rFonts w:ascii="Times New Roman" w:hAnsi="Times New Roman" w:cs="Times New Roman"/>
          <w:sz w:val="28"/>
          <w:szCs w:val="28"/>
          <w:lang w:val="uk-UA" w:eastAsia="ar-SA"/>
        </w:rPr>
        <w:t>Хескет</w:t>
      </w:r>
      <w:r w:rsidR="00637C6C">
        <w:rPr>
          <w:rFonts w:ascii="Times New Roman" w:hAnsi="Times New Roman" w:cs="Times New Roman"/>
          <w:sz w:val="28"/>
          <w:szCs w:val="28"/>
          <w:lang w:val="uk-UA" w:eastAsia="ar-SA"/>
        </w:rPr>
        <w:t>а</w:t>
      </w:r>
      <w:proofErr w:type="spellEnd"/>
      <w:r w:rsidR="00637C6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</w:t>
      </w:r>
      <w:r w:rsidR="00637C6C" w:rsidRPr="00637C6C">
        <w:rPr>
          <w:rFonts w:ascii="Times New Roman" w:hAnsi="Times New Roman" w:cs="Times New Roman"/>
          <w:sz w:val="28"/>
          <w:szCs w:val="28"/>
          <w:lang w:val="uk-UA" w:eastAsia="ar-SA"/>
        </w:rPr>
        <w:t>Ж. Шевальє</w:t>
      </w:r>
      <w:r w:rsidR="00637C6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Серед українських дослідників </w:t>
      </w:r>
      <w:proofErr w:type="spellStart"/>
      <w:r w:rsidR="00637C6C">
        <w:rPr>
          <w:rFonts w:ascii="Times New Roman" w:hAnsi="Times New Roman" w:cs="Times New Roman"/>
          <w:sz w:val="28"/>
          <w:szCs w:val="28"/>
          <w:lang w:val="uk-UA" w:eastAsia="ar-SA"/>
        </w:rPr>
        <w:t>ризикології</w:t>
      </w:r>
      <w:proofErr w:type="spellEnd"/>
      <w:r w:rsidR="00637C6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можна виділити </w:t>
      </w:r>
      <w:r w:rsidR="0017753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роботи </w:t>
      </w:r>
      <w:r w:rsidR="00177537" w:rsidRPr="0017753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Є.В. </w:t>
      </w:r>
      <w:proofErr w:type="spellStart"/>
      <w:r w:rsidR="00177537" w:rsidRPr="00177537">
        <w:rPr>
          <w:rFonts w:ascii="Times New Roman" w:hAnsi="Times New Roman" w:cs="Times New Roman"/>
          <w:sz w:val="28"/>
          <w:szCs w:val="28"/>
          <w:lang w:val="uk-UA" w:eastAsia="ar-SA"/>
        </w:rPr>
        <w:t>Крикавськ</w:t>
      </w:r>
      <w:r w:rsidR="00177537">
        <w:rPr>
          <w:rFonts w:ascii="Times New Roman" w:hAnsi="Times New Roman" w:cs="Times New Roman"/>
          <w:sz w:val="28"/>
          <w:szCs w:val="28"/>
          <w:lang w:val="uk-UA" w:eastAsia="ar-SA"/>
        </w:rPr>
        <w:t>ого</w:t>
      </w:r>
      <w:proofErr w:type="spellEnd"/>
      <w:r w:rsidR="00177537" w:rsidRPr="0017753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В.Е. </w:t>
      </w:r>
      <w:proofErr w:type="spellStart"/>
      <w:r w:rsidR="00177537" w:rsidRPr="00177537">
        <w:rPr>
          <w:rFonts w:ascii="Times New Roman" w:hAnsi="Times New Roman" w:cs="Times New Roman"/>
          <w:sz w:val="28"/>
          <w:szCs w:val="28"/>
          <w:lang w:val="uk-UA" w:eastAsia="ar-SA"/>
        </w:rPr>
        <w:t>Ніколайчук</w:t>
      </w:r>
      <w:r w:rsidR="00177537">
        <w:rPr>
          <w:rFonts w:ascii="Times New Roman" w:hAnsi="Times New Roman" w:cs="Times New Roman"/>
          <w:sz w:val="28"/>
          <w:szCs w:val="28"/>
          <w:lang w:val="uk-UA" w:eastAsia="ar-SA"/>
        </w:rPr>
        <w:t>а</w:t>
      </w:r>
      <w:proofErr w:type="spellEnd"/>
      <w:r w:rsidR="0017753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</w:t>
      </w:r>
      <w:r w:rsidR="00177537" w:rsidRPr="0017753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О.І. </w:t>
      </w:r>
      <w:proofErr w:type="spellStart"/>
      <w:r w:rsidR="00177537" w:rsidRPr="00177537">
        <w:rPr>
          <w:rFonts w:ascii="Times New Roman" w:hAnsi="Times New Roman" w:cs="Times New Roman"/>
          <w:sz w:val="28"/>
          <w:szCs w:val="28"/>
          <w:lang w:val="uk-UA" w:eastAsia="ar-SA"/>
        </w:rPr>
        <w:t>Семененк</w:t>
      </w:r>
      <w:r w:rsidR="00177537">
        <w:rPr>
          <w:rFonts w:ascii="Times New Roman" w:hAnsi="Times New Roman" w:cs="Times New Roman"/>
          <w:sz w:val="28"/>
          <w:szCs w:val="28"/>
          <w:lang w:val="uk-UA" w:eastAsia="ar-SA"/>
        </w:rPr>
        <w:t>а</w:t>
      </w:r>
      <w:proofErr w:type="spellEnd"/>
      <w:r w:rsidR="0017753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</w:t>
      </w:r>
      <w:r w:rsidR="00177537" w:rsidRPr="0017753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А.М. </w:t>
      </w:r>
      <w:proofErr w:type="spellStart"/>
      <w:r w:rsidR="00177537" w:rsidRPr="00177537">
        <w:rPr>
          <w:rFonts w:ascii="Times New Roman" w:hAnsi="Times New Roman" w:cs="Times New Roman"/>
          <w:sz w:val="28"/>
          <w:szCs w:val="28"/>
          <w:lang w:val="uk-UA" w:eastAsia="ar-SA"/>
        </w:rPr>
        <w:t>Гаджинськ</w:t>
      </w:r>
      <w:r w:rsidR="00D1733A">
        <w:rPr>
          <w:rFonts w:ascii="Times New Roman" w:hAnsi="Times New Roman" w:cs="Times New Roman"/>
          <w:sz w:val="28"/>
          <w:szCs w:val="28"/>
          <w:lang w:val="uk-UA" w:eastAsia="ar-SA"/>
        </w:rPr>
        <w:t>ого</w:t>
      </w:r>
      <w:proofErr w:type="spellEnd"/>
      <w:r w:rsidR="00D1733A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177537" w:rsidRPr="00637C6C" w:rsidRDefault="00865CD8" w:rsidP="0017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proofErr w:type="spellStart"/>
      <w:r w:rsidRPr="00865CD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Виділення</w:t>
      </w:r>
      <w:proofErr w:type="spellEnd"/>
      <w:r w:rsidRPr="00865CD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не </w:t>
      </w:r>
      <w:proofErr w:type="spellStart"/>
      <w:r w:rsidRPr="00865CD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вирішених</w:t>
      </w:r>
      <w:proofErr w:type="spellEnd"/>
      <w:r w:rsidRPr="00865CD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865CD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раніше</w:t>
      </w:r>
      <w:proofErr w:type="spellEnd"/>
      <w:r w:rsidRPr="00865CD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865CD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частин</w:t>
      </w:r>
      <w:proofErr w:type="spellEnd"/>
      <w:r w:rsidRPr="00865CD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865CD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загальної</w:t>
      </w:r>
      <w:proofErr w:type="spellEnd"/>
      <w:r w:rsidRPr="00865CD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865CD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проблеми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. </w:t>
      </w:r>
      <w:r w:rsidR="0017753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На наш погляд, недостатньо розвиненим є питання щодо визначення та оцінки логістичних  ризиків, які пов’язані з функціями логістики. </w:t>
      </w:r>
    </w:p>
    <w:p w:rsidR="005D6806" w:rsidRPr="00177537" w:rsidRDefault="005D6806" w:rsidP="0017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23CE7">
        <w:rPr>
          <w:rFonts w:ascii="Times New Roman" w:hAnsi="Times New Roman" w:cs="Times New Roman"/>
          <w:b/>
          <w:sz w:val="28"/>
          <w:szCs w:val="28"/>
          <w:lang w:val="uk-UA" w:eastAsia="ar-SA"/>
        </w:rPr>
        <w:t>Мета статті</w:t>
      </w:r>
      <w:r w:rsidR="00177537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– </w:t>
      </w:r>
      <w:r w:rsidR="0017753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класифікація кількісних </w:t>
      </w:r>
      <w:r w:rsidR="00344C6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методів оцінки </w:t>
      </w:r>
      <w:r w:rsidR="00177537">
        <w:rPr>
          <w:rFonts w:ascii="Times New Roman" w:hAnsi="Times New Roman" w:cs="Times New Roman"/>
          <w:sz w:val="28"/>
          <w:szCs w:val="28"/>
          <w:lang w:val="uk-UA" w:eastAsia="ar-SA"/>
        </w:rPr>
        <w:t>логістичних ризиків, які пов’язані з такими функціями логістики як постачання та фізичний розподіл.</w:t>
      </w:r>
    </w:p>
    <w:p w:rsidR="00527846" w:rsidRPr="00527846" w:rsidRDefault="005D6806" w:rsidP="0017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23CE7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Виклад основного матеріалу дослідження. </w:t>
      </w:r>
      <w:r w:rsidR="00527846" w:rsidRPr="00527846">
        <w:rPr>
          <w:rFonts w:ascii="Times New Roman" w:hAnsi="Times New Roman" w:cs="Times New Roman"/>
          <w:sz w:val="28"/>
          <w:szCs w:val="28"/>
          <w:lang w:val="uk-UA" w:eastAsia="ar-SA"/>
        </w:rPr>
        <w:t>У науковій літературі в теорії ризику, як правило, виділяють два напрями його дослідження: нормативне – кількісне, математичне; дескриптивне – якісний опис проблем.</w:t>
      </w:r>
    </w:p>
    <w:p w:rsidR="006876EB" w:rsidRDefault="00527846" w:rsidP="0017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527846">
        <w:rPr>
          <w:rFonts w:ascii="Times New Roman" w:hAnsi="Times New Roman" w:cs="Times New Roman"/>
          <w:sz w:val="28"/>
          <w:szCs w:val="28"/>
          <w:lang w:val="uk-UA" w:eastAsia="ar-SA"/>
        </w:rPr>
        <w:t>Розглянемо застосування кількісних методів у визначенні, ідентифікації та оцінці логістичних ризиків.</w:t>
      </w:r>
      <w:r w:rsidR="00B50E7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27846">
        <w:rPr>
          <w:rFonts w:ascii="Times New Roman" w:hAnsi="Times New Roman" w:cs="Times New Roman"/>
          <w:sz w:val="28"/>
          <w:szCs w:val="28"/>
          <w:lang w:val="uk-UA" w:eastAsia="ar-SA"/>
        </w:rPr>
        <w:t>Для кількісного оцінювання логістичних ризиків використовуються інструменти теорії ймовірності та математичної статистики, теорії корисності, теорії нечітких множин та ін. Кількісні оцінки логістичних ризиків можуть бути розраховані як в абсолютних так і в відносних значеннях. В абсолютному значенні логістичний ризик – це величина можливого збитку.</w:t>
      </w:r>
    </w:p>
    <w:p w:rsidR="00DB10B4" w:rsidRDefault="006876EB" w:rsidP="0017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Логістична діяльність </w:t>
      </w:r>
      <w:r w:rsidR="00527846" w:rsidRPr="0052784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підприємства складається з трьох функцій: постачання, підтримка виробництва, фізичний розподіл. </w:t>
      </w:r>
      <w:r w:rsidR="00DB10B4" w:rsidRPr="00DB10B4">
        <w:rPr>
          <w:rFonts w:ascii="Times New Roman" w:hAnsi="Times New Roman" w:cs="Times New Roman"/>
          <w:sz w:val="28"/>
          <w:szCs w:val="28"/>
          <w:lang w:val="uk-UA"/>
        </w:rPr>
        <w:t>Класифікація логістичних ризиків промислових підприємств, які виникають в межах функцій логістики та джерела їх виникнення наведено в табл. 1.</w:t>
      </w:r>
    </w:p>
    <w:p w:rsidR="00172219" w:rsidRDefault="001722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B10B4" w:rsidRPr="00DB10B4" w:rsidRDefault="00DB10B4" w:rsidP="00DB1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10B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Таблиця 1 </w:t>
      </w:r>
      <w:r w:rsidRPr="00DB10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ar-SA"/>
        </w:rPr>
        <w:t>–</w:t>
      </w:r>
      <w:r w:rsidRPr="00DB10B4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логістичних ризиків промислових підприємств</w:t>
      </w:r>
    </w:p>
    <w:tbl>
      <w:tblPr>
        <w:tblStyle w:val="20"/>
        <w:tblW w:w="5000" w:type="pct"/>
        <w:tblLayout w:type="fixed"/>
        <w:tblLook w:val="04A0"/>
      </w:tblPr>
      <w:tblGrid>
        <w:gridCol w:w="1593"/>
        <w:gridCol w:w="3920"/>
        <w:gridCol w:w="4058"/>
      </w:tblGrid>
      <w:tr w:rsidR="00DB10B4" w:rsidRPr="00DB10B4" w:rsidTr="00F618EF">
        <w:tc>
          <w:tcPr>
            <w:tcW w:w="832" w:type="pct"/>
          </w:tcPr>
          <w:p w:rsidR="00DB10B4" w:rsidRPr="00DB10B4" w:rsidRDefault="00DB10B4" w:rsidP="00DB1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функції</w:t>
            </w:r>
          </w:p>
        </w:tc>
        <w:tc>
          <w:tcPr>
            <w:tcW w:w="2048" w:type="pct"/>
          </w:tcPr>
          <w:p w:rsidR="00DB10B4" w:rsidRPr="00DB10B4" w:rsidRDefault="00DB10B4" w:rsidP="00DB1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Ризики</w:t>
            </w:r>
          </w:p>
        </w:tc>
        <w:tc>
          <w:tcPr>
            <w:tcW w:w="2120" w:type="pct"/>
          </w:tcPr>
          <w:p w:rsidR="00DB10B4" w:rsidRPr="00DB10B4" w:rsidRDefault="00DB10B4" w:rsidP="00DB1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</w:t>
            </w:r>
          </w:p>
        </w:tc>
      </w:tr>
      <w:tr w:rsidR="00DB10B4" w:rsidRPr="00DB10B4" w:rsidTr="00F618EF">
        <w:tc>
          <w:tcPr>
            <w:tcW w:w="832" w:type="pct"/>
          </w:tcPr>
          <w:p w:rsidR="00DB10B4" w:rsidRPr="00DB10B4" w:rsidRDefault="00DB10B4" w:rsidP="00DB1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2048" w:type="pct"/>
          </w:tcPr>
          <w:p w:rsidR="00DB10B4" w:rsidRPr="00DB10B4" w:rsidRDefault="00DB10B4" w:rsidP="00DB10B4">
            <w:pPr>
              <w:numPr>
                <w:ilvl w:val="0"/>
                <w:numId w:val="3"/>
              </w:numPr>
              <w:suppressAutoHyphens/>
              <w:ind w:left="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затримки постачання;</w:t>
            </w:r>
          </w:p>
          <w:p w:rsidR="00DB10B4" w:rsidRPr="00DB10B4" w:rsidRDefault="00DB10B4" w:rsidP="00DB10B4">
            <w:pPr>
              <w:numPr>
                <w:ilvl w:val="0"/>
                <w:numId w:val="3"/>
              </w:numPr>
              <w:suppressAutoHyphens/>
              <w:ind w:left="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псування сировини або матеріалів;</w:t>
            </w:r>
          </w:p>
          <w:p w:rsidR="00DB10B4" w:rsidRPr="00DB10B4" w:rsidRDefault="00DB10B4" w:rsidP="00DB10B4">
            <w:pPr>
              <w:numPr>
                <w:ilvl w:val="0"/>
                <w:numId w:val="3"/>
              </w:numPr>
              <w:suppressAutoHyphens/>
              <w:ind w:left="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подорожчання сировини або матеріалів;</w:t>
            </w:r>
          </w:p>
          <w:p w:rsidR="00DB10B4" w:rsidRPr="00DB10B4" w:rsidRDefault="00DB10B4" w:rsidP="00DB10B4">
            <w:pPr>
              <w:numPr>
                <w:ilvl w:val="0"/>
                <w:numId w:val="3"/>
              </w:numPr>
              <w:suppressAutoHyphens/>
              <w:ind w:left="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подорожчання транспорту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ання.</w:t>
            </w:r>
          </w:p>
        </w:tc>
        <w:tc>
          <w:tcPr>
            <w:tcW w:w="2120" w:type="pct"/>
          </w:tcPr>
          <w:p w:rsidR="00DB10B4" w:rsidRPr="00DB10B4" w:rsidRDefault="00DB10B4" w:rsidP="00DB10B4">
            <w:pPr>
              <w:numPr>
                <w:ilvl w:val="0"/>
                <w:numId w:val="4"/>
              </w:numPr>
              <w:suppressAutoHyphens/>
              <w:ind w:left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затримка спричинена постачальником або перевізником;</w:t>
            </w:r>
          </w:p>
          <w:p w:rsidR="00DB10B4" w:rsidRPr="00DB10B4" w:rsidRDefault="00DB10B4" w:rsidP="00DB10B4">
            <w:pPr>
              <w:numPr>
                <w:ilvl w:val="0"/>
                <w:numId w:val="4"/>
              </w:numPr>
              <w:suppressAutoHyphens/>
              <w:ind w:left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псування спричинено постачальником або перевізником;</w:t>
            </w:r>
          </w:p>
          <w:p w:rsidR="00DB10B4" w:rsidRPr="00DB10B4" w:rsidRDefault="00DB10B4" w:rsidP="00DB10B4">
            <w:pPr>
              <w:numPr>
                <w:ilvl w:val="0"/>
                <w:numId w:val="4"/>
              </w:numPr>
              <w:suppressAutoHyphens/>
              <w:ind w:left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викликано курсовими коливаннями, або подорожчанням складових сировини та матеріалів.</w:t>
            </w:r>
          </w:p>
        </w:tc>
      </w:tr>
      <w:tr w:rsidR="00DB10B4" w:rsidRPr="00DB10B4" w:rsidTr="00F618EF">
        <w:tc>
          <w:tcPr>
            <w:tcW w:w="832" w:type="pct"/>
          </w:tcPr>
          <w:p w:rsidR="00DB10B4" w:rsidRPr="00DB10B4" w:rsidRDefault="00DB10B4" w:rsidP="00DB1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виробництва</w:t>
            </w:r>
          </w:p>
        </w:tc>
        <w:tc>
          <w:tcPr>
            <w:tcW w:w="2048" w:type="pct"/>
          </w:tcPr>
          <w:p w:rsidR="00DB10B4" w:rsidRPr="00DB10B4" w:rsidRDefault="00DB10B4" w:rsidP="00DB10B4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недостатньої кількості запасів незавершеного виробництва для здійснення виробничого процесу;</w:t>
            </w:r>
          </w:p>
          <w:p w:rsidR="00DB10B4" w:rsidRPr="00DB10B4" w:rsidRDefault="00DB10B4" w:rsidP="00DB10B4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ризик подорожчання зберігання запасів незавершеного виробництва. </w:t>
            </w:r>
          </w:p>
        </w:tc>
        <w:tc>
          <w:tcPr>
            <w:tcW w:w="2120" w:type="pct"/>
          </w:tcPr>
          <w:p w:rsidR="00DB10B4" w:rsidRPr="00DB10B4" w:rsidRDefault="00DB10B4" w:rsidP="00DB10B4">
            <w:pPr>
              <w:numPr>
                <w:ilvl w:val="0"/>
                <w:numId w:val="6"/>
              </w:numPr>
              <w:suppressAutoHyphens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похибки у визначенні необхідних запасів для виробництва;</w:t>
            </w:r>
          </w:p>
          <w:p w:rsidR="00DB10B4" w:rsidRPr="00DB10B4" w:rsidRDefault="00DB10B4" w:rsidP="00DB10B4">
            <w:pPr>
              <w:numPr>
                <w:ilvl w:val="0"/>
                <w:numId w:val="6"/>
              </w:numPr>
              <w:suppressAutoHyphens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підняття цін на енергоресурси або оренду складських приміщень.</w:t>
            </w:r>
          </w:p>
        </w:tc>
      </w:tr>
      <w:tr w:rsidR="00DB10B4" w:rsidRPr="00DB10B4" w:rsidTr="00F618EF">
        <w:tc>
          <w:tcPr>
            <w:tcW w:w="832" w:type="pct"/>
          </w:tcPr>
          <w:p w:rsidR="00DB10B4" w:rsidRPr="00DB10B4" w:rsidRDefault="00DB10B4" w:rsidP="00DB1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Фізичний розподіл</w:t>
            </w:r>
          </w:p>
        </w:tc>
        <w:tc>
          <w:tcPr>
            <w:tcW w:w="2048" w:type="pct"/>
          </w:tcPr>
          <w:p w:rsidR="00DB10B4" w:rsidRPr="00DB10B4" w:rsidRDefault="00DB10B4" w:rsidP="00DB10B4">
            <w:pPr>
              <w:numPr>
                <w:ilvl w:val="0"/>
                <w:numId w:val="7"/>
              </w:numPr>
              <w:suppressAutoHyphens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невчасної поставк</w:t>
            </w:r>
            <w:r w:rsidR="00CE7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готової продукції замовнику;</w:t>
            </w:r>
          </w:p>
          <w:p w:rsidR="00DB10B4" w:rsidRPr="00DB10B4" w:rsidRDefault="00DB10B4" w:rsidP="00DB10B4">
            <w:pPr>
              <w:numPr>
                <w:ilvl w:val="0"/>
                <w:numId w:val="7"/>
              </w:numPr>
              <w:suppressAutoHyphens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ризик псування продукції в процесі перевезення або зберігання; </w:t>
            </w:r>
          </w:p>
          <w:p w:rsidR="00DB10B4" w:rsidRPr="00DB10B4" w:rsidRDefault="00DB10B4" w:rsidP="00DB10B4">
            <w:pPr>
              <w:numPr>
                <w:ilvl w:val="0"/>
                <w:numId w:val="7"/>
              </w:numPr>
              <w:suppressAutoHyphens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поставки, яка не задовольняє за кількістю потреби ринку (виникнення дефіциту), або поставки, яка перевищує попит ринку.</w:t>
            </w:r>
          </w:p>
        </w:tc>
        <w:tc>
          <w:tcPr>
            <w:tcW w:w="2120" w:type="pct"/>
          </w:tcPr>
          <w:p w:rsidR="00DB10B4" w:rsidRPr="00DB10B4" w:rsidRDefault="00DB10B4" w:rsidP="00DB10B4">
            <w:pPr>
              <w:numPr>
                <w:ilvl w:val="0"/>
                <w:numId w:val="8"/>
              </w:numPr>
              <w:suppressAutoHyphens/>
              <w:ind w:left="11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невчасна доставка перевізником або невчасне відвантаження підприємством;</w:t>
            </w:r>
          </w:p>
          <w:p w:rsidR="00DB10B4" w:rsidRPr="00DB10B4" w:rsidRDefault="00DB10B4" w:rsidP="00DB10B4">
            <w:pPr>
              <w:numPr>
                <w:ilvl w:val="0"/>
                <w:numId w:val="8"/>
              </w:numPr>
              <w:suppressAutoHyphens/>
              <w:ind w:left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недотримання норм зберігання готової продукції на складах або в процесі перевезення;</w:t>
            </w:r>
          </w:p>
          <w:p w:rsidR="00DB10B4" w:rsidRPr="00DB10B4" w:rsidRDefault="00DB10B4" w:rsidP="00DB10B4">
            <w:pPr>
              <w:numPr>
                <w:ilvl w:val="0"/>
                <w:numId w:val="8"/>
              </w:numPr>
              <w:suppressAutoHyphens/>
              <w:ind w:left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B1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невірна оцінка потреб ринку.</w:t>
            </w:r>
          </w:p>
        </w:tc>
      </w:tr>
    </w:tbl>
    <w:p w:rsidR="00DB10B4" w:rsidRPr="00527846" w:rsidRDefault="00DB10B4" w:rsidP="0052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DB10B4" w:rsidRDefault="00DB10B4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Ризики, які виникають на етапі постачання та на етапі фізичного розподілу мають східні риси: </w:t>
      </w:r>
    </w:p>
    <w:p w:rsidR="00DB10B4" w:rsidRDefault="00DB10B4" w:rsidP="00D1733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B10B4">
        <w:rPr>
          <w:rFonts w:ascii="Times New Roman" w:hAnsi="Times New Roman" w:cs="Times New Roman"/>
          <w:sz w:val="28"/>
          <w:szCs w:val="28"/>
          <w:lang w:val="uk-UA" w:eastAsia="ar-SA"/>
        </w:rPr>
        <w:t>затримка поставки сировини від постачальника або готової продукції споживачеві</w:t>
      </w:r>
      <w:r w:rsidR="0017753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(тут логістичний ризик пов'язаний з надійністю постачальника або перевізника)</w:t>
      </w:r>
      <w:r w:rsidRPr="00DB10B4">
        <w:rPr>
          <w:rFonts w:ascii="Times New Roman" w:hAnsi="Times New Roman" w:cs="Times New Roman"/>
          <w:sz w:val="28"/>
          <w:szCs w:val="28"/>
          <w:lang w:val="uk-UA" w:eastAsia="ar-SA"/>
        </w:rPr>
        <w:t>;</w:t>
      </w:r>
    </w:p>
    <w:p w:rsidR="00DB10B4" w:rsidRDefault="00DB10B4" w:rsidP="00D1733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ризик псування сировини або готової продукції</w:t>
      </w:r>
      <w:r w:rsidR="0017753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(тут ризик пов'язаний з формуванням запасів сировини або готової продукції, а також з недотриманням норм зберігання)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;</w:t>
      </w:r>
    </w:p>
    <w:p w:rsidR="00DB10B4" w:rsidRDefault="00DB10B4" w:rsidP="00D1733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ризик виникнення дефіциту сировини або готової продукції</w:t>
      </w:r>
      <w:r w:rsidR="0017753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(тут ризик пов'язаний з оцінкою попиту на сировину або на готову продукцію підприємства)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DB10B4" w:rsidRDefault="00177537" w:rsidP="00D173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За цими східними рисами ризиків на етап</w:t>
      </w:r>
      <w:r w:rsidR="007D37F6">
        <w:rPr>
          <w:rFonts w:ascii="Times New Roman" w:hAnsi="Times New Roman" w:cs="Times New Roman"/>
          <w:sz w:val="28"/>
          <w:szCs w:val="28"/>
          <w:lang w:val="uk-UA" w:eastAsia="ar-SA"/>
        </w:rPr>
        <w:t>ах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постачання та фізичного розподілу можемо розробити схему вибору відповідного методу оцінки певного ризику</w:t>
      </w:r>
      <w:r w:rsidR="00DB10B4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(рис.</w:t>
      </w:r>
      <w:r w:rsid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DB10B4">
        <w:rPr>
          <w:rFonts w:ascii="Times New Roman" w:hAnsi="Times New Roman" w:cs="Times New Roman"/>
          <w:sz w:val="28"/>
          <w:szCs w:val="28"/>
          <w:lang w:val="uk-UA" w:eastAsia="ar-SA"/>
        </w:rPr>
        <w:t>1).</w:t>
      </w:r>
    </w:p>
    <w:p w:rsidR="00D1733A" w:rsidRDefault="00D1733A">
      <w:pPr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br w:type="page"/>
      </w:r>
    </w:p>
    <w:p w:rsidR="00D1733A" w:rsidRDefault="00D1733A" w:rsidP="00D173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D15DAC" w:rsidRDefault="0089319A" w:rsidP="00D555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141.45pt;margin-top:9.5pt;width:186.75pt;height:32.25pt;z-index:251673600">
            <v:textbox>
              <w:txbxContent>
                <w:p w:rsidR="00D15DAC" w:rsidRDefault="00D15DAC" w:rsidP="00D15D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Оцінювання логістичного ризику</w:t>
                  </w:r>
                </w:p>
                <w:p w:rsidR="00D15DAC" w:rsidRDefault="00D15DAC"/>
              </w:txbxContent>
            </v:textbox>
          </v:shape>
        </w:pict>
      </w:r>
    </w:p>
    <w:p w:rsidR="00D15DAC" w:rsidRDefault="0089319A" w:rsidP="00D555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35.2pt;margin-top:17.6pt;width:.75pt;height:28.5pt;z-index:251674624" o:connectortype="straight">
            <v:stroke endarrow="block"/>
          </v:shape>
        </w:pict>
      </w:r>
    </w:p>
    <w:p w:rsidR="00D15DAC" w:rsidRDefault="0089319A" w:rsidP="00D555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407.7pt;margin-top:3.2pt;width:0;height:18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61.2pt;margin-top:3.2pt;width:0;height:18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61.2pt;margin-top:3.2pt;width:347.25pt;height:0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202" style="position:absolute;left:0;text-align:left;margin-left:-8.55pt;margin-top:21.2pt;width:137.25pt;height:36pt;z-index:251676672">
            <v:textbox>
              <w:txbxContent>
                <w:p w:rsidR="001F11B0" w:rsidRDefault="001F11B0" w:rsidP="001F11B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Оцінка величини збитку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202" style="position:absolute;left:0;text-align:left;margin-left:342.45pt;margin-top:21.2pt;width:130.5pt;height:36pt;z-index:251677696">
            <v:textbox>
              <w:txbxContent>
                <w:p w:rsidR="00D803A0" w:rsidRDefault="00D803A0" w:rsidP="00D803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Оцінка</w:t>
                  </w:r>
                </w:p>
                <w:p w:rsidR="001F11B0" w:rsidRPr="001F11B0" w:rsidRDefault="001F11B0" w:rsidP="00D803A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дефіциту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202" style="position:absolute;left:0;text-align:left;margin-left:174.45pt;margin-top:21.2pt;width:126pt;height:36pt;z-index:251675648">
            <v:textbox>
              <w:txbxContent>
                <w:p w:rsidR="001F11B0" w:rsidRDefault="001F11B0" w:rsidP="001F11B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Оцінка ненадійності постачальника</w:t>
                  </w:r>
                </w:p>
              </w:txbxContent>
            </v:textbox>
          </v:shape>
        </w:pict>
      </w:r>
    </w:p>
    <w:p w:rsidR="00D15DAC" w:rsidRDefault="00D15DAC" w:rsidP="00D555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D15DAC" w:rsidRDefault="0089319A" w:rsidP="00D555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351.45pt;margin-top:9.65pt;width:.75pt;height:167.25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3.45pt;margin-top:8.9pt;width:0;height:99.75pt;z-index:251683840" o:connectortype="straight"/>
        </w:pict>
      </w:r>
    </w:p>
    <w:p w:rsidR="00D15DAC" w:rsidRDefault="0089319A" w:rsidP="00D555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202" style="position:absolute;left:0;text-align:left;margin-left:363.45pt;margin-top:9.5pt;width:111.75pt;height:45pt;z-index:251687936">
            <v:textbox>
              <w:txbxContent>
                <w:p w:rsidR="0053063D" w:rsidRPr="007637CB" w:rsidRDefault="0053063D" w:rsidP="005306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37CB">
                    <w:rPr>
                      <w:rFonts w:ascii="Times New Roman" w:hAnsi="Times New Roman"/>
                      <w:lang w:val="uk-UA"/>
                    </w:rPr>
                    <w:t>Модель з нормальним</w:t>
                  </w:r>
                </w:p>
                <w:p w:rsidR="0053063D" w:rsidRPr="007637CB" w:rsidRDefault="0053063D" w:rsidP="0053063D">
                  <w:pPr>
                    <w:spacing w:after="0" w:line="240" w:lineRule="auto"/>
                    <w:jc w:val="center"/>
                  </w:pPr>
                  <w:r w:rsidRPr="007637CB">
                    <w:rPr>
                      <w:rFonts w:ascii="Times New Roman" w:hAnsi="Times New Roman"/>
                      <w:lang w:val="uk-UA"/>
                    </w:rPr>
                    <w:t>розподілом попиту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202" style="position:absolute;left:0;text-align:left;margin-left:15.45pt;margin-top:5.75pt;width:117pt;height:36pt;z-index:251681792">
            <v:textbox>
              <w:txbxContent>
                <w:p w:rsidR="00D803A0" w:rsidRPr="00D803A0" w:rsidRDefault="00D803A0" w:rsidP="00D803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D803A0">
                    <w:rPr>
                      <w:rFonts w:ascii="Times New Roman" w:hAnsi="Times New Roman"/>
                      <w:lang w:val="uk-UA"/>
                    </w:rPr>
                    <w:t>Очікуване</w:t>
                  </w:r>
                </w:p>
                <w:p w:rsidR="00820EF4" w:rsidRPr="00D803A0" w:rsidRDefault="0052345A" w:rsidP="00D803A0">
                  <w:pPr>
                    <w:spacing w:after="0" w:line="240" w:lineRule="auto"/>
                    <w:jc w:val="center"/>
                  </w:pPr>
                  <w:r w:rsidRPr="00D803A0">
                    <w:rPr>
                      <w:rFonts w:ascii="Times New Roman" w:hAnsi="Times New Roman"/>
                      <w:lang w:val="uk-UA"/>
                    </w:rPr>
                    <w:t>значенн</w:t>
                  </w:r>
                  <w:r w:rsidR="000B6EF6" w:rsidRPr="00D803A0">
                    <w:rPr>
                      <w:rFonts w:ascii="Times New Roman" w:hAnsi="Times New Roman"/>
                      <w:lang w:val="uk-UA"/>
                    </w:rPr>
                    <w:t>я</w:t>
                  </w:r>
                </w:p>
              </w:txbxContent>
            </v:textbox>
          </v:shape>
        </w:pict>
      </w:r>
    </w:p>
    <w:p w:rsidR="00D15DAC" w:rsidRDefault="0089319A" w:rsidP="00D555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352.2pt;margin-top:1.1pt;width:12pt;height:.7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3.45pt;margin-top:1.1pt;width:12pt;height:.75pt;z-index:251684864" o:connectortype="straight">
            <v:stroke endarrow="block"/>
          </v:shape>
        </w:pict>
      </w:r>
    </w:p>
    <w:p w:rsidR="001F11B0" w:rsidRDefault="0089319A" w:rsidP="00D555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202" style="position:absolute;left:0;text-align:left;margin-left:363.45pt;margin-top:18.2pt;width:111.75pt;height:48.75pt;z-index:251689984">
            <v:textbox>
              <w:txbxContent>
                <w:p w:rsidR="006C7547" w:rsidRPr="0053063D" w:rsidRDefault="006C7547" w:rsidP="006C7547">
                  <w:pPr>
                    <w:spacing w:after="0" w:line="240" w:lineRule="auto"/>
                    <w:jc w:val="center"/>
                  </w:pPr>
                  <w:r w:rsidRPr="007637CB">
                    <w:rPr>
                      <w:rFonts w:ascii="Times New Roman" w:hAnsi="Times New Roman"/>
                      <w:lang w:val="uk-UA"/>
                    </w:rPr>
                    <w:t xml:space="preserve">Модель з </w:t>
                  </w:r>
                  <w:proofErr w:type="spellStart"/>
                  <w:r w:rsidRPr="007637CB">
                    <w:rPr>
                      <w:rFonts w:ascii="Times New Roman" w:hAnsi="Times New Roman"/>
                      <w:lang w:val="uk-UA"/>
                    </w:rPr>
                    <w:t>Пуассонівським</w:t>
                  </w:r>
                  <w:proofErr w:type="spellEnd"/>
                  <w:r w:rsidRPr="007637CB">
                    <w:rPr>
                      <w:rFonts w:ascii="Times New Roman" w:hAnsi="Times New Roman"/>
                      <w:lang w:val="uk-UA"/>
                    </w:rPr>
                    <w:t xml:space="preserve"> розподілом попиту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попиту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202" style="position:absolute;left:0;text-align:left;margin-left:15.45pt;margin-top:12.2pt;width:117pt;height:36pt;z-index:251682816">
            <v:textbox>
              <w:txbxContent>
                <w:p w:rsidR="00820EF4" w:rsidRPr="00D803A0" w:rsidRDefault="0052345A" w:rsidP="0052345A">
                  <w:pPr>
                    <w:jc w:val="center"/>
                  </w:pPr>
                  <w:r w:rsidRPr="00D803A0">
                    <w:rPr>
                      <w:rFonts w:ascii="Times New Roman" w:hAnsi="Times New Roman"/>
                      <w:lang w:val="uk-UA"/>
                    </w:rPr>
                    <w:t xml:space="preserve">Коефіцієнт </w:t>
                  </w:r>
                  <w:proofErr w:type="spellStart"/>
                  <w:r w:rsidRPr="00D803A0">
                    <w:rPr>
                      <w:rFonts w:ascii="Times New Roman" w:hAnsi="Times New Roman"/>
                      <w:lang w:val="uk-UA"/>
                    </w:rPr>
                    <w:t>півваріації</w:t>
                  </w:r>
                  <w:proofErr w:type="spellEnd"/>
                </w:p>
              </w:txbxContent>
            </v:textbox>
          </v:shape>
        </w:pict>
      </w:r>
    </w:p>
    <w:p w:rsidR="001F11B0" w:rsidRDefault="0089319A" w:rsidP="00D555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352.2pt;margin-top:12.8pt;width:12pt;height:.7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4.2pt;margin-top:11.3pt;width:12pt;height:.75pt;z-index:251685888" o:connectortype="straight">
            <v:stroke endarrow="block"/>
          </v:shape>
        </w:pict>
      </w:r>
    </w:p>
    <w:p w:rsidR="001F11B0" w:rsidRDefault="001F11B0" w:rsidP="00D555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D15DAC" w:rsidRDefault="0089319A" w:rsidP="00D555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351.45pt;margin-top:31.25pt;width:12pt;height:.7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202" style="position:absolute;left:0;text-align:left;margin-left:363.45pt;margin-top:7.25pt;width:111.75pt;height:48.75pt;z-index:251692032">
            <v:textbox>
              <w:txbxContent>
                <w:p w:rsidR="006C7547" w:rsidRPr="0053063D" w:rsidRDefault="006C7547" w:rsidP="006C7547">
                  <w:pPr>
                    <w:spacing w:after="0" w:line="240" w:lineRule="auto"/>
                    <w:jc w:val="center"/>
                  </w:pPr>
                  <w:r w:rsidRPr="007637CB">
                    <w:rPr>
                      <w:rFonts w:ascii="Times New Roman" w:hAnsi="Times New Roman"/>
                      <w:lang w:val="uk-UA"/>
                    </w:rPr>
                    <w:t xml:space="preserve">Модель з </w:t>
                  </w:r>
                  <w:proofErr w:type="spellStart"/>
                  <w:r w:rsidRPr="007637CB">
                    <w:rPr>
                      <w:rFonts w:ascii="Times New Roman" w:hAnsi="Times New Roman"/>
                      <w:lang w:val="uk-UA"/>
                    </w:rPr>
                    <w:t>показниковим</w:t>
                  </w:r>
                  <w:proofErr w:type="spellEnd"/>
                  <w:r w:rsidRPr="007637CB">
                    <w:rPr>
                      <w:rFonts w:ascii="Times New Roman" w:hAnsi="Times New Roman"/>
                      <w:lang w:val="uk-UA"/>
                    </w:rPr>
                    <w:t xml:space="preserve"> розподілом попиту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попиту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попиту</w:t>
                  </w:r>
                  <w:proofErr w:type="spellEnd"/>
                </w:p>
              </w:txbxContent>
            </v:textbox>
          </v:shape>
        </w:pict>
      </w:r>
    </w:p>
    <w:p w:rsidR="001B4325" w:rsidRDefault="001B4325" w:rsidP="00D555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B4325" w:rsidRDefault="001B4325" w:rsidP="00D555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DB10B4" w:rsidRDefault="00D55504" w:rsidP="00D17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Рисунок 1 – Класифікація кількісних методів оцінювання логістичних ризиків на етапах постачання та фізичного розподілу</w:t>
      </w:r>
    </w:p>
    <w:p w:rsidR="00DB10B4" w:rsidRDefault="00DB10B4" w:rsidP="0052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527846" w:rsidRPr="00D1733A" w:rsidRDefault="00D55504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У класичних підходах до оцінювання логістичних ризиків</w:t>
      </w:r>
      <w:r w:rsidR="0052784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пропонується розраховувати величину збитку як математичне сподівання можливих його станів, в тому випадку, якщо вони описуються дискретною випадковою величиною </w:t>
      </w:r>
      <w:r w:rsidR="00527846" w:rsidRPr="00D1733A">
        <w:rPr>
          <w:rFonts w:ascii="Times New Roman" w:hAnsi="Times New Roman" w:cs="Times New Roman"/>
          <w:sz w:val="28"/>
          <w:szCs w:val="28"/>
          <w:lang w:val="en-US" w:eastAsia="ar-SA"/>
        </w:rPr>
        <w:t>Z</w:t>
      </w:r>
      <w:r w:rsidR="0052784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</w:t>
      </w:r>
      <w:r w:rsidR="00527846" w:rsidRPr="00D1733A">
        <w:rPr>
          <w:rFonts w:ascii="Times New Roman" w:hAnsi="Times New Roman" w:cs="Times New Roman"/>
          <w:i/>
          <w:sz w:val="28"/>
          <w:szCs w:val="28"/>
          <w:lang w:val="uk-UA" w:eastAsia="ar-SA"/>
        </w:rPr>
        <w:t>Очікуване значення збитку</w:t>
      </w:r>
      <w:r w:rsidR="0052784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розраховується за формулою </w:t>
      </w:r>
      <w:r w:rsidR="00B50E7A"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(1) </w:t>
      </w:r>
      <w:r w:rsidR="0052784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[</w:t>
      </w:r>
      <w:r w:rsidR="007D37F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1</w:t>
      </w:r>
      <w:r w:rsidR="0052784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, с.380-382]: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ru-RU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8pt" o:ole="">
            <v:imagedata r:id="rId5" o:title=""/>
          </v:shape>
          <o:OLEObject Type="Embed" ProgID="Equation.3" ShapeID="_x0000_i1025" DrawAspect="Content" ObjectID="_1560323226" r:id="rId6"/>
        </w:object>
      </w:r>
      <w:r w:rsidR="00B50E7A" w:rsidRPr="00D1733A">
        <w:rPr>
          <w:rFonts w:ascii="Times New Roman" w:hAnsi="Times New Roman" w:cs="Times New Roman"/>
          <w:position w:val="-30"/>
          <w:sz w:val="28"/>
          <w:szCs w:val="28"/>
          <w:lang w:val="uk-UA" w:eastAsia="ru-RU"/>
        </w:rPr>
        <w:object w:dxaOrig="1640" w:dyaOrig="700">
          <v:shape id="_x0000_i1026" type="#_x0000_t75" style="width:112.5pt;height:48pt" o:ole="">
            <v:imagedata r:id="rId7" o:title=""/>
          </v:shape>
          <o:OLEObject Type="Embed" ProgID="Equation.3" ShapeID="_x0000_i1026" DrawAspect="Content" ObjectID="_1560323227" r:id="rId8"/>
        </w:object>
      </w:r>
      <w:r w:rsidRPr="00D1733A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D1733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1733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1733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1733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CE7E5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 w:rsidR="00B50E7A" w:rsidRPr="00D1733A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D1733A">
        <w:rPr>
          <w:rFonts w:ascii="Times New Roman" w:hAnsi="Times New Roman" w:cs="Times New Roman"/>
          <w:sz w:val="28"/>
          <w:szCs w:val="28"/>
          <w:lang w:val="uk-UA" w:eastAsia="ru-RU"/>
        </w:rPr>
        <w:t>1)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де </w:t>
      </w:r>
      <w:r w:rsidRPr="00D1733A">
        <w:rPr>
          <w:rFonts w:ascii="Times New Roman" w:hAnsi="Times New Roman" w:cs="Times New Roman"/>
          <w:i/>
          <w:sz w:val="28"/>
          <w:szCs w:val="28"/>
          <w:lang w:val="en-US" w:eastAsia="ar-SA"/>
        </w:rPr>
        <w:t>z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j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– певне значення випадкової величини </w:t>
      </w:r>
      <w:r w:rsidRPr="00D1733A">
        <w:rPr>
          <w:rFonts w:ascii="Times New Roman" w:hAnsi="Times New Roman" w:cs="Times New Roman"/>
          <w:i/>
          <w:sz w:val="28"/>
          <w:szCs w:val="28"/>
          <w:lang w:val="en-US" w:eastAsia="ar-SA"/>
        </w:rPr>
        <w:t>z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;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</w:t>
      </w:r>
      <w:proofErr w:type="gramStart"/>
      <w:r w:rsidRPr="00D1733A">
        <w:rPr>
          <w:rFonts w:ascii="Times New Roman" w:hAnsi="Times New Roman" w:cs="Times New Roman"/>
          <w:i/>
          <w:sz w:val="28"/>
          <w:szCs w:val="28"/>
          <w:lang w:val="en-US" w:eastAsia="ar-SA"/>
        </w:rPr>
        <w:t>p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j</w:t>
      </w:r>
      <w:proofErr w:type="gramEnd"/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– ймовірність настання події </w:t>
      </w:r>
      <w:r w:rsidRPr="00D1733A">
        <w:rPr>
          <w:rFonts w:ascii="Times New Roman" w:hAnsi="Times New Roman" w:cs="Times New Roman"/>
          <w:i/>
          <w:sz w:val="28"/>
          <w:szCs w:val="28"/>
          <w:lang w:val="en-US" w:eastAsia="ar-SA"/>
        </w:rPr>
        <w:t>z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j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;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i/>
          <w:sz w:val="28"/>
          <w:szCs w:val="28"/>
          <w:lang w:val="uk-UA" w:eastAsia="ar-SA"/>
        </w:rPr>
        <w:t xml:space="preserve">     </w:t>
      </w:r>
      <w:r w:rsidRPr="00D1733A">
        <w:rPr>
          <w:rFonts w:ascii="Times New Roman" w:hAnsi="Times New Roman" w:cs="Times New Roman"/>
          <w:i/>
          <w:sz w:val="28"/>
          <w:szCs w:val="28"/>
          <w:lang w:val="en-US" w:eastAsia="ar-SA"/>
        </w:rPr>
        <w:t>n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– </w:t>
      </w:r>
      <w:proofErr w:type="gramStart"/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кількість</w:t>
      </w:r>
      <w:proofErr w:type="gramEnd"/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подій (станів випадкової величини </w:t>
      </w:r>
      <w:r w:rsidRPr="00D1733A">
        <w:rPr>
          <w:rFonts w:ascii="Times New Roman" w:hAnsi="Times New Roman" w:cs="Times New Roman"/>
          <w:i/>
          <w:sz w:val="28"/>
          <w:szCs w:val="28"/>
          <w:lang w:val="en-US" w:eastAsia="ar-SA"/>
        </w:rPr>
        <w:t>z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).</w:t>
      </w:r>
    </w:p>
    <w:p w:rsidR="007D37F6" w:rsidRPr="00D1733A" w:rsidRDefault="007D37F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Складність застосування такого методу постає у визначенні значень випадкової величини </w:t>
      </w:r>
      <w:r w:rsidRPr="00D1733A">
        <w:rPr>
          <w:rFonts w:ascii="Times New Roman" w:hAnsi="Times New Roman" w:cs="Times New Roman"/>
          <w:i/>
          <w:sz w:val="28"/>
          <w:szCs w:val="28"/>
          <w:lang w:val="en-US" w:eastAsia="ar-SA"/>
        </w:rPr>
        <w:t>z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j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та ймовірностей їх настання </w:t>
      </w:r>
      <w:r w:rsidRPr="00D1733A">
        <w:rPr>
          <w:rFonts w:ascii="Times New Roman" w:hAnsi="Times New Roman" w:cs="Times New Roman"/>
          <w:i/>
          <w:sz w:val="28"/>
          <w:szCs w:val="28"/>
          <w:lang w:val="en-US" w:eastAsia="ar-SA"/>
        </w:rPr>
        <w:t>p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j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. Для отримання цих оцінок дослідникові необхідно мати статистичну базу за кілька попередніх періодів. Тому застосовуватися цей метод може лише у випадку тривалого випуску досліджуваного продукту.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Поширеним також є використання дисперсійного аналізу. В цьому випадку випадкова величина 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Z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пов’язується з прибутком або з обсягом продажу. Традиційними є такі позначення: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D1733A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Z</w:t>
      </w:r>
      <w:r w:rsidRPr="00D1733A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– математичне очікування прибутку;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D</w:t>
      </w:r>
      <w:r w:rsidRPr="00D1733A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Z</w:t>
      </w:r>
      <w:r w:rsidRPr="00D1733A">
        <w:rPr>
          <w:rFonts w:ascii="Times New Roman" w:hAnsi="Times New Roman" w:cs="Times New Roman"/>
          <w:sz w:val="28"/>
          <w:szCs w:val="28"/>
          <w:lang w:eastAsia="ar-SA"/>
        </w:rPr>
        <w:t xml:space="preserve">) – 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дисперсія, а </w:t>
      </w:r>
      <w:r w:rsidR="00B50E7A" w:rsidRPr="00D1733A">
        <w:rPr>
          <w:rFonts w:ascii="Times New Roman" w:hAnsi="Times New Roman" w:cs="Times New Roman"/>
          <w:position w:val="-10"/>
          <w:sz w:val="28"/>
          <w:szCs w:val="28"/>
          <w:lang w:val="uk-UA" w:eastAsia="ru-RU"/>
        </w:rPr>
        <w:object w:dxaOrig="580" w:dyaOrig="320">
          <v:shape id="_x0000_i1027" type="#_x0000_t75" style="width:39pt;height:21.75pt" o:ole="">
            <v:imagedata r:id="rId9" o:title=""/>
          </v:shape>
          <o:OLEObject Type="Embed" ProgID="Equation.3" ShapeID="_x0000_i1027" DrawAspect="Content" ObjectID="_1560323228" r:id="rId10"/>
        </w:object>
      </w:r>
      <w:r w:rsidR="00CE7E5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E7E5C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–</w:t>
      </w:r>
      <w:r w:rsidRPr="00D173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733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стандартне відхилення. В </w:t>
      </w:r>
      <w:r w:rsidRPr="00D1733A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дисперсійному аналізі чім більшим є значення </w:t>
      </w:r>
      <w:r w:rsidRPr="00D1733A">
        <w:rPr>
          <w:rFonts w:ascii="Times New Roman" w:hAnsi="Times New Roman" w:cs="Times New Roman"/>
          <w:position w:val="-10"/>
          <w:sz w:val="28"/>
          <w:szCs w:val="28"/>
          <w:lang w:val="uk-UA" w:eastAsia="ru-RU"/>
        </w:rPr>
        <w:object w:dxaOrig="580" w:dyaOrig="320">
          <v:shape id="_x0000_i1028" type="#_x0000_t75" style="width:39pt;height:21.75pt" o:ole="">
            <v:imagedata r:id="rId11" o:title=""/>
          </v:shape>
          <o:OLEObject Type="Embed" ProgID="Equation.3" ShapeID="_x0000_i1028" DrawAspect="Content" ObjectID="_1560323229" r:id="rId12"/>
        </w:object>
      </w:r>
      <w:r w:rsidRPr="00D1733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тим більше ризик недоотримання очікуваного прибутку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(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Z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) [</w:t>
      </w:r>
      <w:r w:rsidR="007D37F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1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].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Вітлінський і Скицько пропонують для розрахунку дисперсії враховувати лише неблагонадійні відхилення від очікуваного значення, а не всі відхилення [</w:t>
      </w:r>
      <w:r w:rsidR="007D37F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1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]. Рівень ризику вони пропонують називати півваріацією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SV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та відповідно квадратний корінь з півваріації позначати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SSV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. Розраховуються ці величини таким чином:</w:t>
      </w:r>
    </w:p>
    <w:p w:rsidR="00527846" w:rsidRPr="00D1733A" w:rsidRDefault="00B50E7A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position w:val="-30"/>
          <w:sz w:val="28"/>
          <w:szCs w:val="28"/>
          <w:lang w:val="uk-UA" w:eastAsia="ar-SA"/>
        </w:rPr>
        <w:object w:dxaOrig="3000" w:dyaOrig="700">
          <v:shape id="_x0000_i1029" type="#_x0000_t75" style="width:206.25pt;height:48pt" o:ole="">
            <v:imagedata r:id="rId13" o:title=""/>
          </v:shape>
          <o:OLEObject Type="Embed" ProgID="Equation.3" ShapeID="_x0000_i1029" DrawAspect="Content" ObjectID="_1560323230" r:id="rId14"/>
        </w:object>
      </w:r>
      <w:r w:rsidR="00BE57A5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,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="00BE57A5"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="00CE7E5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(</w:t>
      </w:r>
      <w:r w:rsidR="0052784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2)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object w:dxaOrig="1920" w:dyaOrig="400">
          <v:shape id="_x0000_i1030" type="#_x0000_t75" style="width:132.75pt;height:27pt" o:ole="">
            <v:imagedata r:id="rId15" o:title=""/>
          </v:shape>
          <o:OLEObject Type="Embed" ProgID="Equation.3" ShapeID="_x0000_i1030" DrawAspect="Content" ObjectID="_1560323231" r:id="rId16"/>
        </w:objec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="00CE7E5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         </w:t>
      </w:r>
      <w:r w:rsidR="00B50E7A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(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3)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де </w:t>
      </w:r>
      <w:r w:rsidRPr="00D1733A">
        <w:rPr>
          <w:rFonts w:ascii="Times New Roman" w:hAnsi="Times New Roman" w:cs="Times New Roman"/>
          <w:i/>
          <w:sz w:val="28"/>
          <w:szCs w:val="28"/>
          <w:lang w:val="en-US" w:eastAsia="ar-SA"/>
        </w:rPr>
        <w:t>a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j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– показник неблагонадійних відхилень від центра, дорівнює 0 у випадку благонадійного відхилення від центра та 1 – у випадку неблагонадійного відхилення.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Логістичний ризик пропону</w:t>
      </w:r>
      <w:r w:rsidR="00BE57A5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ється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розраховувати як </w:t>
      </w:r>
      <w:r w:rsidRPr="00D1733A">
        <w:rPr>
          <w:rFonts w:ascii="Times New Roman" w:hAnsi="Times New Roman" w:cs="Times New Roman"/>
          <w:i/>
          <w:sz w:val="28"/>
          <w:szCs w:val="28"/>
          <w:lang w:val="uk-UA" w:eastAsia="ar-SA"/>
        </w:rPr>
        <w:t>коефіцієнт півваріації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:</w:t>
      </w:r>
    </w:p>
    <w:p w:rsidR="00527846" w:rsidRPr="00D1733A" w:rsidRDefault="00B50E7A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position w:val="-28"/>
          <w:sz w:val="28"/>
          <w:szCs w:val="28"/>
          <w:lang w:val="uk-UA" w:eastAsia="ar-SA"/>
        </w:rPr>
        <w:object w:dxaOrig="1900" w:dyaOrig="660">
          <v:shape id="_x0000_i1031" type="#_x0000_t75" style="width:131.25pt;height:45pt" o:ole="">
            <v:imagedata r:id="rId17" o:title=""/>
          </v:shape>
          <o:OLEObject Type="Embed" ProgID="Equation.3" ShapeID="_x0000_i1031" DrawAspect="Content" ObjectID="_1560323232" r:id="rId18"/>
        </w:object>
      </w:r>
      <w:r w:rsidR="0052784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</w:t>
      </w:r>
      <w:r w:rsidR="0052784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="0052784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="0052784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="0052784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="0052784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="00CE7E5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         </w:t>
      </w:r>
      <w:r w:rsidR="0052784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(4)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У тому випадку, коли величина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Z</w:t>
      </w:r>
      <w:r w:rsidRPr="00D173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виражає дохід, коефіцієнт півваріації характеризує ризик неблагонадійних відхилень, як</w:t>
      </w:r>
      <w:r w:rsidR="00B50E7A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і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припадають на одиницю доходу. 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Коефіцієнт півварації пропонується для використання у обчисленні функції корисності [</w:t>
      </w:r>
      <w:r w:rsidR="007D37F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2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]: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object w:dxaOrig="2260" w:dyaOrig="360">
          <v:shape id="_x0000_i1032" type="#_x0000_t75" style="width:179.25pt;height:25.5pt" o:ole="">
            <v:imagedata r:id="rId19" o:title=""/>
          </v:shape>
          <o:OLEObject Type="Embed" ProgID="Equation.3" ShapeID="_x0000_i1032" DrawAspect="Content" ObjectID="_1560323233" r:id="rId20"/>
        </w:objec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,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="00CE7E5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          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(5)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де τ – коефіцієнт, який залежить від суб’єктивно вибраного рівня довіри (вартості ризику).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Для оцінки логістичних ризиків, які пов’язані з </w:t>
      </w:r>
      <w:r w:rsidRPr="00D1733A">
        <w:rPr>
          <w:rFonts w:ascii="Times New Roman" w:hAnsi="Times New Roman" w:cs="Times New Roman"/>
          <w:i/>
          <w:sz w:val="28"/>
          <w:szCs w:val="28"/>
          <w:lang w:val="uk-UA" w:eastAsia="ar-SA"/>
        </w:rPr>
        <w:t>оцінкою надійності клієнтів або постачальників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, в наукових дослідженнях пропонують  використовувати багатофакторні регресійні моделі виду [</w:t>
      </w:r>
      <w:r w:rsidR="007D37F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3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, с.348-349 ]: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P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=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w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uk-UA" w:eastAsia="ar-SA"/>
        </w:rPr>
        <w:t>0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+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w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uk-UA" w:eastAsia="ar-SA"/>
        </w:rPr>
        <w:t>1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x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uk-UA" w:eastAsia="ar-SA"/>
        </w:rPr>
        <w:t>1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+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w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uk-UA" w:eastAsia="ar-SA"/>
        </w:rPr>
        <w:t>2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x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uk-UA" w:eastAsia="ar-SA"/>
        </w:rPr>
        <w:t>2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+ … + </w:t>
      </w:r>
      <w:proofErr w:type="spellStart"/>
      <w:proofErr w:type="gramStart"/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w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n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x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n</w:t>
      </w:r>
      <w:proofErr w:type="spellEnd"/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,</w:t>
      </w:r>
      <w:proofErr w:type="gramEnd"/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="00CE7E5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          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(6)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де Р – ймовірність банкрутства клієнта або постачальника;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</w:t>
      </w:r>
      <w:proofErr w:type="gramStart"/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w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i</w:t>
      </w:r>
      <w:proofErr w:type="gramEnd"/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– вагові характеристики;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х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uk-UA" w:eastAsia="ar-SA"/>
        </w:rPr>
        <w:t>і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– характеристики клієнта або постачальника.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Недолік даної моделі полягає в тому, що в лівій частині рівняння</w:t>
      </w:r>
      <w:r w:rsidR="00B50E7A"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(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6) знаходиться ймовірність, яка приймає значення від 0 до 1, а змінні в правій частині можуть приймати будь-які значення від - Г до + Г. 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Логістична регресія дозволяє подолати цей недолік: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log</w:t>
      </w:r>
      <w:proofErr w:type="gramEnd"/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(p/(1-p)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)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= w0 + w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1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x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1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+ w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x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 xml:space="preserve">2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+ … </w:t>
      </w:r>
      <w:r w:rsidRPr="00D1733A">
        <w:rPr>
          <w:rFonts w:ascii="Times New Roman" w:hAnsi="Times New Roman" w:cs="Times New Roman"/>
          <w:sz w:val="28"/>
          <w:szCs w:val="28"/>
          <w:lang w:eastAsia="ar-SA"/>
        </w:rPr>
        <w:t xml:space="preserve">+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w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n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x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n</w:t>
      </w:r>
      <w:r w:rsidRPr="00D173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  <w:r w:rsidR="00B50E7A" w:rsidRPr="00D1733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B50E7A" w:rsidRPr="00D1733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E7E5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 </w:t>
      </w:r>
      <w:r w:rsidR="00B50E7A" w:rsidRPr="00D1733A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7</w:t>
      </w:r>
      <w:r w:rsidRPr="00D1733A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На наш погляд, оцінка комерці</w:t>
      </w:r>
      <w:r w:rsidR="00F75921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й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ного ризика, </w:t>
      </w:r>
      <w:r w:rsidR="00F75921"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пов’язаного 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 банкрутством клієнта або постачальника, вимагає від дослідника багато зусиль, щоб, по-перше, визначити вагомі характеристики, по-друге, оцінити їх значення та вагу, та, по-третє, зробити складні перетворення для 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lastRenderedPageBreak/>
        <w:t>зас</w:t>
      </w:r>
      <w:r w:rsidR="00B50E7A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тосування формули (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7). Не виключено, що оцінки характеристик та їх ваги за цим методом будуть мати </w:t>
      </w:r>
      <w:r w:rsidR="00BE57A5"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суб’єктивні 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значення. Тому й оцінка ймовірності банкрутства буде цілком суб’єктивною характеристикою.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Кількісні методи оцінки ризику використовуються в моделях управління запасами з нерівномірним попитом. Для таких моделей визначається </w:t>
      </w:r>
      <w:r w:rsidRPr="00D1733A">
        <w:rPr>
          <w:rFonts w:ascii="Times New Roman" w:hAnsi="Times New Roman" w:cs="Times New Roman"/>
          <w:i/>
          <w:sz w:val="28"/>
          <w:szCs w:val="28"/>
          <w:lang w:val="uk-UA" w:eastAsia="ar-SA"/>
        </w:rPr>
        <w:t>ймовірність дефіциту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[</w:t>
      </w:r>
      <w:r w:rsidR="007D37F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4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, с.154-157]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P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d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= 1 –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U</w:t>
      </w:r>
      <w:proofErr w:type="spellStart"/>
      <w:r w:rsidRPr="00D1733A">
        <w:rPr>
          <w:rFonts w:ascii="Times New Roman" w:hAnsi="Times New Roman" w:cs="Times New Roman"/>
          <w:sz w:val="28"/>
          <w:szCs w:val="28"/>
          <w:vertAlign w:val="subscript"/>
          <w:lang w:val="uk-UA" w:eastAsia="ar-SA"/>
        </w:rPr>
        <w:t>обс</w:t>
      </w:r>
      <w:proofErr w:type="spellEnd"/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= </w:t>
      </w:r>
      <w:proofErr w:type="gramStart"/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P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(</w:t>
      </w:r>
      <w:proofErr w:type="gramEnd"/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q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&gt;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z</w:t>
      </w:r>
      <w:proofErr w:type="spellStart"/>
      <w:r w:rsidRPr="00D1733A">
        <w:rPr>
          <w:rFonts w:ascii="Times New Roman" w:hAnsi="Times New Roman" w:cs="Times New Roman"/>
          <w:sz w:val="28"/>
          <w:szCs w:val="28"/>
          <w:vertAlign w:val="subscript"/>
          <w:lang w:val="uk-UA" w:eastAsia="ar-SA"/>
        </w:rPr>
        <w:t>кр</w:t>
      </w:r>
      <w:proofErr w:type="spellEnd"/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),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="00CE7E5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           </w:t>
      </w:r>
      <w:r w:rsidR="00B50E7A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(</w:t>
      </w:r>
      <w:r w:rsidR="00CE7E5C">
        <w:rPr>
          <w:rFonts w:ascii="Times New Roman" w:hAnsi="Times New Roman" w:cs="Times New Roman"/>
          <w:sz w:val="28"/>
          <w:szCs w:val="28"/>
          <w:lang w:val="uk-UA" w:eastAsia="ar-SA"/>
        </w:rPr>
        <w:t>8)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де </w:t>
      </w:r>
      <w:r w:rsidRPr="00D1733A">
        <w:rPr>
          <w:rFonts w:ascii="Times New Roman" w:hAnsi="Times New Roman" w:cs="Times New Roman"/>
          <w:i/>
          <w:sz w:val="28"/>
          <w:szCs w:val="28"/>
          <w:lang w:val="en-US" w:eastAsia="ar-SA"/>
        </w:rPr>
        <w:t>z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uk-UA" w:eastAsia="ar-SA"/>
        </w:rPr>
        <w:t>кр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– критичний рівень (величина запасу), при якому необхідно зробити замовлення, щоб уникнути дефіциту товару;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U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uk-UA" w:eastAsia="ar-SA"/>
        </w:rPr>
        <w:t>обс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– це ймовірність </w:t>
      </w:r>
      <w:proofErr w:type="gramStart"/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P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(</w:t>
      </w:r>
      <w:proofErr w:type="gramEnd"/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q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&lt;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z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uk-UA" w:eastAsia="ar-SA"/>
        </w:rPr>
        <w:t>кр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) того, що запланованого запасу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z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кр буде достатньо для задоволення попиту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q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в певному інтервалі часу між замовленням і його одержанням.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Зазвичай, ці методи застосовуються до оцінки дефіциту готових товарів на складах продавця. 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Для уникнення дефіциту на складах створюють страхові (резервні) запаси, які розраховуються за формулою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R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=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k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•</w:t>
      </w:r>
      <w:proofErr w:type="gramStart"/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σ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(</w:t>
      </w:r>
      <w:proofErr w:type="gramEnd"/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q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), 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="00CE7E5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                    </w:t>
      </w:r>
      <w:r w:rsidR="00B50E7A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(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9)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де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R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– резервний запас;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k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– </w:t>
      </w:r>
      <w:proofErr w:type="gramStart"/>
      <w:r w:rsidR="00B50E7A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коефіцієнт</w:t>
      </w:r>
      <w:proofErr w:type="gramEnd"/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пропорційності;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proofErr w:type="gramStart"/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σ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(</w:t>
      </w:r>
      <w:proofErr w:type="gramEnd"/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q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) – середньоквадратичне відхилення попиту за певний час.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Точка замовлення визначається за формулою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Z</w:t>
      </w:r>
      <w:r w:rsidRPr="00D1733A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kp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= </w:t>
      </w:r>
      <w:r w:rsidRPr="00D1733A">
        <w:rPr>
          <w:rFonts w:ascii="Times New Roman" w:hAnsi="Times New Roman" w:cs="Times New Roman"/>
          <w:position w:val="-10"/>
          <w:sz w:val="28"/>
          <w:szCs w:val="28"/>
          <w:lang w:val="uk-UA" w:eastAsia="ar-SA"/>
        </w:rPr>
        <w:object w:dxaOrig="220" w:dyaOrig="300">
          <v:shape id="_x0000_i1033" type="#_x0000_t75" style="width:18pt;height:20.25pt" o:ole="">
            <v:imagedata r:id="rId21" o:title=""/>
          </v:shape>
          <o:OLEObject Type="Embed" ProgID="Equation.3" ShapeID="_x0000_i1033" DrawAspect="Content" ObjectID="_1560323234" r:id="rId22"/>
        </w:object>
      </w:r>
      <w:proofErr w:type="gramStart"/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+ 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k</w:t>
      </w:r>
      <w:proofErr w:type="gramEnd"/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•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σ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(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q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). 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="00CE7E5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                   </w:t>
      </w:r>
      <w:r w:rsidR="00B50E7A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(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10)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Значення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k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добирають, виходячи з заданого рівня обслуговування 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U</w:t>
      </w:r>
      <w:proofErr w:type="spellStart"/>
      <w:r w:rsidRPr="00D1733A">
        <w:rPr>
          <w:rFonts w:ascii="Times New Roman" w:hAnsi="Times New Roman" w:cs="Times New Roman"/>
          <w:sz w:val="28"/>
          <w:szCs w:val="28"/>
          <w:vertAlign w:val="subscript"/>
          <w:lang w:val="uk-UA" w:eastAsia="ar-SA"/>
        </w:rPr>
        <w:t>обс</w:t>
      </w:r>
      <w:proofErr w:type="spellEnd"/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=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P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(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q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&lt;</w:t>
      </w:r>
      <w:r w:rsidR="00B50E7A" w:rsidRPr="00D1733A">
        <w:rPr>
          <w:rFonts w:ascii="Times New Roman" w:hAnsi="Times New Roman" w:cs="Times New Roman"/>
          <w:position w:val="-10"/>
          <w:sz w:val="28"/>
          <w:szCs w:val="28"/>
          <w:lang w:val="uk-UA" w:eastAsia="ar-SA"/>
        </w:rPr>
        <w:object w:dxaOrig="220" w:dyaOrig="300">
          <v:shape id="_x0000_i1034" type="#_x0000_t75" style="width:18pt;height:20.25pt" o:ole="">
            <v:imagedata r:id="rId23" o:title=""/>
          </v:shape>
          <o:OLEObject Type="Embed" ProgID="Equation.3" ShapeID="_x0000_i1034" DrawAspect="Content" ObjectID="_1560323235" r:id="rId24"/>
        </w:objec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+ 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k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•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σ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(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q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)). 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Ймовірності дефіциту в моделях управління запасами в наукових роботах також </w:t>
      </w:r>
      <w:r w:rsidR="00F75921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пов’язують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з законом розподілу попиту. Так, у випадку </w:t>
      </w:r>
      <w:r w:rsidRPr="00D1733A">
        <w:rPr>
          <w:rFonts w:ascii="Times New Roman" w:hAnsi="Times New Roman" w:cs="Times New Roman"/>
          <w:i/>
          <w:sz w:val="28"/>
          <w:szCs w:val="28"/>
          <w:lang w:val="uk-UA" w:eastAsia="ar-SA"/>
        </w:rPr>
        <w:t>нормального розподілу попиту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D1733A">
        <w:rPr>
          <w:rFonts w:ascii="Times New Roman" w:hAnsi="Times New Roman" w:cs="Times New Roman"/>
          <w:i/>
          <w:sz w:val="28"/>
          <w:szCs w:val="28"/>
          <w:lang w:val="uk-UA" w:eastAsia="ar-SA"/>
        </w:rPr>
        <w:t>для страхового запасу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який визначається за </w:t>
      </w:r>
      <w:r w:rsidR="00F75921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формулою (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9) та точки замовлення, </w:t>
      </w:r>
      <w:r w:rsidR="00B50E7A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яка визначається за формулою (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10) отримують ймовірність дефіциту [</w:t>
      </w:r>
      <w:r w:rsidR="007D37F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4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c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. 156]: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Pd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= </w:t>
      </w:r>
      <w:proofErr w:type="gramStart"/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P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(</w:t>
      </w:r>
      <w:proofErr w:type="gramEnd"/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q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&lt;</w:t>
      </w:r>
      <w:r w:rsidR="00B50E7A" w:rsidRPr="00D1733A">
        <w:rPr>
          <w:rFonts w:ascii="Times New Roman" w:hAnsi="Times New Roman" w:cs="Times New Roman"/>
          <w:position w:val="-10"/>
          <w:sz w:val="28"/>
          <w:szCs w:val="28"/>
          <w:lang w:val="uk-UA" w:eastAsia="ar-SA"/>
        </w:rPr>
        <w:object w:dxaOrig="220" w:dyaOrig="300">
          <v:shape id="_x0000_i1035" type="#_x0000_t75" style="width:18pt;height:20.25pt" o:ole="">
            <v:imagedata r:id="rId25" o:title=""/>
          </v:shape>
          <o:OLEObject Type="Embed" ProgID="Equation.3" ShapeID="_x0000_i1035" DrawAspect="Content" ObjectID="_1560323236" r:id="rId26"/>
        </w:objec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+ 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k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•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σ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(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q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)) = 1- 2Ф (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k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),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U</w:t>
      </w:r>
      <w:proofErr w:type="spellStart"/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обс</w:t>
      </w:r>
      <w:proofErr w:type="spellEnd"/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= 1 –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Pd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= 2Ф (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k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). </w:t>
      </w:r>
      <w:r w:rsidR="00CE7E5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</w:t>
      </w:r>
      <w:r w:rsidR="00B50E7A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(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11)</w:t>
      </w:r>
    </w:p>
    <w:p w:rsidR="00527846" w:rsidRPr="00D1733A" w:rsidRDefault="00B50E7A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За формулою (</w:t>
      </w:r>
      <w:r w:rsidR="0052784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11) можна для напер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е</w:t>
      </w:r>
      <w:r w:rsidR="0052784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 відомого рівня обслуговування вибирати коефіцієнт </w:t>
      </w:r>
      <w:r w:rsidR="00527846" w:rsidRPr="00D1733A">
        <w:rPr>
          <w:rFonts w:ascii="Times New Roman" w:hAnsi="Times New Roman" w:cs="Times New Roman"/>
          <w:sz w:val="28"/>
          <w:szCs w:val="28"/>
          <w:lang w:val="en-US" w:eastAsia="ar-SA"/>
        </w:rPr>
        <w:t>k</w:t>
      </w:r>
      <w:r w:rsidR="0052784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і, відповідно, величину страхового запасу та точку замовлення. 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При </w:t>
      </w:r>
      <w:r w:rsidRPr="00D1733A">
        <w:rPr>
          <w:rFonts w:ascii="Times New Roman" w:hAnsi="Times New Roman" w:cs="Times New Roman"/>
          <w:i/>
          <w:sz w:val="28"/>
          <w:szCs w:val="28"/>
          <w:lang w:val="uk-UA" w:eastAsia="ar-SA"/>
        </w:rPr>
        <w:t>розподілі попиту за законом Пуассона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рівень резервного запасу, критичний рівень запасу та рівень обслуговування пропон</w:t>
      </w:r>
      <w:r w:rsidR="00B50E7A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у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ють знаходити за формулами:</w:t>
      </w:r>
    </w:p>
    <w:p w:rsidR="00527846" w:rsidRPr="00D1733A" w:rsidRDefault="00B50E7A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position w:val="-12"/>
          <w:sz w:val="28"/>
          <w:szCs w:val="28"/>
          <w:lang w:val="uk-UA" w:eastAsia="ar-SA"/>
        </w:rPr>
        <w:object w:dxaOrig="920" w:dyaOrig="400">
          <v:shape id="_x0000_i1036" type="#_x0000_t75" style="width:73.5pt;height:27pt" o:ole="">
            <v:imagedata r:id="rId27" o:title=""/>
          </v:shape>
          <o:OLEObject Type="Embed" ProgID="Equation.3" ShapeID="_x0000_i1036" DrawAspect="Content" ObjectID="_1560323237" r:id="rId28"/>
        </w:object>
      </w:r>
      <w:r w:rsidR="0052784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D1733A">
        <w:rPr>
          <w:rFonts w:ascii="Times New Roman" w:hAnsi="Times New Roman" w:cs="Times New Roman"/>
          <w:position w:val="-14"/>
          <w:sz w:val="28"/>
          <w:szCs w:val="28"/>
          <w:lang w:val="uk-UA" w:eastAsia="ar-SA"/>
        </w:rPr>
        <w:object w:dxaOrig="1400" w:dyaOrig="420">
          <v:shape id="_x0000_i1037" type="#_x0000_t75" style="width:111pt;height:29.25pt" o:ole="">
            <v:imagedata r:id="rId29" o:title=""/>
          </v:shape>
          <o:OLEObject Type="Embed" ProgID="Equation.3" ShapeID="_x0000_i1037" DrawAspect="Content" ObjectID="_1560323238" r:id="rId30"/>
        </w:object>
      </w:r>
      <w:r w:rsidR="0052784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  </w:t>
      </w:r>
      <w:r w:rsidRPr="00D1733A">
        <w:rPr>
          <w:rFonts w:ascii="Times New Roman" w:hAnsi="Times New Roman" w:cs="Times New Roman"/>
          <w:position w:val="-12"/>
          <w:sz w:val="28"/>
          <w:szCs w:val="28"/>
          <w:lang w:val="uk-UA" w:eastAsia="ar-SA"/>
        </w:rPr>
        <w:object w:dxaOrig="2260" w:dyaOrig="400">
          <v:shape id="_x0000_i1038" type="#_x0000_t75" style="width:180pt;height:27pt" o:ole="">
            <v:imagedata r:id="rId31" o:title=""/>
          </v:shape>
          <o:OLEObject Type="Embed" ProgID="Equation.3" ShapeID="_x0000_i1038" DrawAspect="Content" ObjectID="_1560323239" r:id="rId32"/>
        </w:object>
      </w:r>
      <w:r w:rsidR="00CE7E5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</w:t>
      </w:r>
      <w:r w:rsidR="0052784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(12)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У разі </w:t>
      </w:r>
      <w:r w:rsidRPr="00D1733A">
        <w:rPr>
          <w:rFonts w:ascii="Times New Roman" w:hAnsi="Times New Roman" w:cs="Times New Roman"/>
          <w:i/>
          <w:sz w:val="28"/>
          <w:szCs w:val="28"/>
          <w:lang w:val="uk-UA" w:eastAsia="ar-SA"/>
        </w:rPr>
        <w:t>показникового розподілу попиту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зі щільністю 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object w:dxaOrig="2020" w:dyaOrig="320">
          <v:shape id="_x0000_i1039" type="#_x0000_t75" style="width:161.25pt;height:22.5pt" o:ole="">
            <v:imagedata r:id="rId33" o:title=""/>
          </v:shape>
          <o:OLEObject Type="Embed" ProgID="Equation.3" ShapeID="_x0000_i1039" DrawAspect="Content" ObjectID="_1560323240" r:id="rId34"/>
        </w:object>
      </w:r>
      <w:r w:rsidR="00B50E7A" w:rsidRPr="00D1733A">
        <w:rPr>
          <w:rFonts w:ascii="Times New Roman" w:hAnsi="Times New Roman" w:cs="Times New Roman"/>
          <w:position w:val="-24"/>
          <w:sz w:val="28"/>
          <w:szCs w:val="28"/>
          <w:lang w:val="uk-UA" w:eastAsia="ar-SA"/>
        </w:rPr>
        <w:object w:dxaOrig="639" w:dyaOrig="620">
          <v:shape id="_x0000_i1040" type="#_x0000_t75" style="width:51pt;height:42.75pt" o:ole="">
            <v:imagedata r:id="rId35" o:title=""/>
          </v:shape>
          <o:OLEObject Type="Embed" ProgID="Equation.3" ShapeID="_x0000_i1040" DrawAspect="Content" ObjectID="_1560323241" r:id="rId36"/>
        </w:objec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, інтервал постачання вважається детермінованою величиною. Тоді ймовірність дефіциту визначається за формулою [</w:t>
      </w:r>
      <w:r w:rsidR="007D37F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4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D1733A">
        <w:rPr>
          <w:rFonts w:ascii="Times New Roman" w:hAnsi="Times New Roman" w:cs="Times New Roman"/>
          <w:sz w:val="28"/>
          <w:szCs w:val="28"/>
          <w:lang w:val="en-US" w:eastAsia="ar-SA"/>
        </w:rPr>
        <w:t>c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. 157]:</w:t>
      </w:r>
    </w:p>
    <w:p w:rsidR="00527846" w:rsidRPr="00D1733A" w:rsidRDefault="00B50E7A" w:rsidP="00CE7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position w:val="-36"/>
          <w:sz w:val="28"/>
          <w:szCs w:val="28"/>
          <w:lang w:val="uk-UA" w:eastAsia="ar-SA"/>
        </w:rPr>
        <w:object w:dxaOrig="5240" w:dyaOrig="800">
          <v:shape id="_x0000_i1041" type="#_x0000_t75" style="width:416.25pt;height:55.5pt" o:ole="">
            <v:imagedata r:id="rId37" o:title=""/>
          </v:shape>
          <o:OLEObject Type="Embed" ProgID="Equation.3" ShapeID="_x0000_i1041" DrawAspect="Content" ObjectID="_1560323242" r:id="rId38"/>
        </w:object>
      </w:r>
      <w:r w:rsidR="00CE7E5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</w:t>
      </w:r>
      <w:r w:rsidR="0052784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(13)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Рівень обслуговування </w:t>
      </w:r>
    </w:p>
    <w:p w:rsidR="00527846" w:rsidRPr="00D1733A" w:rsidRDefault="00B50E7A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position w:val="-14"/>
          <w:sz w:val="28"/>
          <w:szCs w:val="28"/>
          <w:lang w:val="uk-UA" w:eastAsia="ar-SA"/>
        </w:rPr>
        <w:object w:dxaOrig="3500" w:dyaOrig="380">
          <v:shape id="_x0000_i1042" type="#_x0000_t75" style="width:278.25pt;height:26.25pt" o:ole="">
            <v:imagedata r:id="rId39" o:title=""/>
          </v:shape>
          <o:OLEObject Type="Embed" ProgID="Equation.3" ShapeID="_x0000_i1042" DrawAspect="Content" ObjectID="_1560323243" r:id="rId40"/>
        </w:object>
      </w:r>
      <w:r w:rsidR="0052784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="0052784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="00CE7E5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   </w:t>
      </w:r>
      <w:r w:rsidR="0052784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(14)</w:t>
      </w:r>
    </w:p>
    <w:p w:rsidR="00527846" w:rsidRPr="00D1733A" w:rsidRDefault="00527846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Одним з недоліків вищенаведених методів розрахунку ймовірності дефіциту запасів є використання для розрахунку величини середнього попиту за певний період. Зазвичай, такі методи пристосовані для товарів, які не є новинками на ринку. Лише при відомому середньому значенні попиту або при відомому законі розподілу попиту можна скористатися моделями визначення ймові</w:t>
      </w:r>
      <w:r w:rsidR="00B50E7A"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рності дефіциту за формулами (8 – 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14). У разі, якщо йдеться про новий товар, в науковій спільноті застосовують інструментарій методів прогнозування.</w:t>
      </w:r>
    </w:p>
    <w:p w:rsidR="00B50E7A" w:rsidRPr="00D1733A" w:rsidRDefault="00B50E7A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b/>
          <w:sz w:val="28"/>
          <w:szCs w:val="28"/>
          <w:lang w:val="uk-UA" w:eastAsia="ar-SA"/>
        </w:rPr>
        <w:t>Висновки</w:t>
      </w: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  <w:r w:rsidR="007D37F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Для управління запасами на підприємстві можуть застосовуватися досить ефективні методи оцінки логістичних ризиків. Функція постачання та функція фізичного розподілу у логістиці мають східні ризики, до яких віднесено: </w:t>
      </w:r>
      <w:r w:rsidR="00DB10B4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затримк</w:t>
      </w:r>
      <w:r w:rsidR="00533F89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у</w:t>
      </w:r>
      <w:r w:rsidR="00DB10B4"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поставки сировини від постачальника або готової продукції споживачеві</w:t>
      </w:r>
      <w:r w:rsidR="00533F89"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; </w:t>
      </w:r>
      <w:r w:rsidR="007D37F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ризик псування сировини або готової продукції</w:t>
      </w:r>
      <w:r w:rsidR="00533F89"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; </w:t>
      </w:r>
      <w:r w:rsidR="007D37F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ризик виникнення дефіциту сировини або готової продукції</w:t>
      </w:r>
      <w:r w:rsidR="00533F89"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Для кількісної оцінки цих ризиків пропонується використовувати методи </w:t>
      </w:r>
      <w:r w:rsidR="007D37F6"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533F89"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оцінки логістичного ризику: оцінка величини збитку (очікуване значення, коефіцієнт півваріації); оцінка ненадійності постачальника; оцінка дефіциту (модель з нормальним розподілом попиту; модель з показниковим розподілом попиту; модель з </w:t>
      </w:r>
      <w:proofErr w:type="spellStart"/>
      <w:r w:rsidR="00533F89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Пуассонівським</w:t>
      </w:r>
      <w:proofErr w:type="spellEnd"/>
      <w:r w:rsidR="00533F89"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розподілом попиту).</w:t>
      </w:r>
    </w:p>
    <w:p w:rsidR="004427F1" w:rsidRPr="00D1733A" w:rsidRDefault="004427F1" w:rsidP="00D1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173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 подальшому важливо розглянути оцінки логістичних ризиків, які пов’язані за змінами цінової політики постачальників або посередників, а також зі змінами тарифів на енергоресурси. </w:t>
      </w:r>
    </w:p>
    <w:p w:rsidR="00B50E7A" w:rsidRDefault="00B50E7A" w:rsidP="0052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B50E7A" w:rsidRPr="00B50E7A" w:rsidRDefault="00B50E7A" w:rsidP="00CE7E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B50E7A">
        <w:rPr>
          <w:rFonts w:ascii="Times New Roman" w:hAnsi="Times New Roman" w:cs="Times New Roman"/>
          <w:b/>
          <w:sz w:val="28"/>
          <w:szCs w:val="28"/>
          <w:lang w:val="uk-UA" w:eastAsia="ar-SA"/>
        </w:rPr>
        <w:t>Література</w:t>
      </w:r>
    </w:p>
    <w:p w:rsidR="00B50E7A" w:rsidRPr="00B50E7A" w:rsidRDefault="00B50E7A" w:rsidP="00CE7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</w:pPr>
      <w:r w:rsidRPr="00B50E7A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 xml:space="preserve">Valdemar V. Vitlinskyy </w:t>
      </w:r>
      <w:r w:rsidRPr="00B50E7A">
        <w:rPr>
          <w:rFonts w:ascii="Times New Roman" w:hAnsi="Times New Roman" w:cs="Times New Roman"/>
          <w:bCs/>
          <w:iCs/>
          <w:sz w:val="28"/>
          <w:szCs w:val="28"/>
          <w:lang w:val="en-US" w:eastAsia="ar-SA"/>
        </w:rPr>
        <w:t>and</w:t>
      </w:r>
      <w:r w:rsidRPr="00B50E7A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 xml:space="preserve"> Volodymyr I. Skitsko</w:t>
      </w:r>
      <w:r w:rsidRPr="00B50E7A">
        <w:rPr>
          <w:rFonts w:ascii="Times New Roman" w:hAnsi="Times New Roman" w:cs="Times New Roman"/>
          <w:bCs/>
          <w:iCs/>
          <w:sz w:val="28"/>
          <w:szCs w:val="28"/>
          <w:lang w:val="en-US" w:eastAsia="ar-SA"/>
        </w:rPr>
        <w:t xml:space="preserve"> (2014). Risk management in electronic logistics. Actual problems of economics, 2014 (12(162)), 374-384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.</w:t>
      </w:r>
    </w:p>
    <w:p w:rsidR="00B50E7A" w:rsidRPr="00B50E7A" w:rsidRDefault="00B50E7A" w:rsidP="00CE7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proofErr w:type="spellStart"/>
      <w:r w:rsidRPr="00FC0C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Вітлінський</w:t>
      </w:r>
      <w:proofErr w:type="spellEnd"/>
      <w:r w:rsidRPr="00FC0C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В.В. </w:t>
      </w:r>
      <w:proofErr w:type="spellStart"/>
      <w:r w:rsidRPr="00FC0C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Ризикологія</w:t>
      </w:r>
      <w:proofErr w:type="spellEnd"/>
      <w:r w:rsidRPr="00FC0C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 економіці та підприємництві: [монографія] / В.В. Вітлінський, Г.І. Великоіваненко. </w:t>
      </w:r>
      <w:r w:rsidR="002B3BFA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–</w:t>
      </w:r>
      <w:r w:rsidRPr="00FC0C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К.: КНЕУ, 2004. </w:t>
      </w:r>
      <w:r w:rsidR="002B3BFA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–</w:t>
      </w:r>
      <w:r w:rsidRPr="00FC0C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480с.</w:t>
      </w:r>
    </w:p>
    <w:p w:rsidR="00B50E7A" w:rsidRPr="00B50E7A" w:rsidRDefault="00B50E7A" w:rsidP="00CE7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B50E7A">
        <w:rPr>
          <w:rFonts w:ascii="Times New Roman" w:hAnsi="Times New Roman" w:cs="Times New Roman"/>
          <w:sz w:val="28"/>
          <w:szCs w:val="28"/>
          <w:lang w:val="uk-UA" w:eastAsia="ar-SA"/>
        </w:rPr>
        <w:t>Кондратенко Н. О. Інструменти управління та методи оцінки ризиків у логістичних сис</w:t>
      </w:r>
      <w:r w:rsidR="002B3BFA">
        <w:rPr>
          <w:rFonts w:ascii="Times New Roman" w:hAnsi="Times New Roman" w:cs="Times New Roman"/>
          <w:sz w:val="28"/>
          <w:szCs w:val="28"/>
          <w:lang w:val="uk-UA" w:eastAsia="ar-SA"/>
        </w:rPr>
        <w:t>темах [Електронний ресурс] / Н.О. Кондратенко, О.</w:t>
      </w:r>
      <w:r w:rsidRPr="00B50E7A">
        <w:rPr>
          <w:rFonts w:ascii="Times New Roman" w:hAnsi="Times New Roman" w:cs="Times New Roman"/>
          <w:sz w:val="28"/>
          <w:szCs w:val="28"/>
          <w:lang w:val="uk-UA" w:eastAsia="ar-SA"/>
        </w:rPr>
        <w:t>О. Лобашов // Кому</w:t>
      </w:r>
      <w:r w:rsidR="002B3BFA">
        <w:rPr>
          <w:rFonts w:ascii="Times New Roman" w:hAnsi="Times New Roman" w:cs="Times New Roman"/>
          <w:sz w:val="28"/>
          <w:szCs w:val="28"/>
          <w:lang w:val="uk-UA" w:eastAsia="ar-SA"/>
        </w:rPr>
        <w:t>нальне господарство міст наук.-</w:t>
      </w:r>
      <w:r w:rsidRPr="00B50E7A">
        <w:rPr>
          <w:rFonts w:ascii="Times New Roman" w:hAnsi="Times New Roman" w:cs="Times New Roman"/>
          <w:sz w:val="28"/>
          <w:szCs w:val="28"/>
          <w:lang w:val="uk-UA" w:eastAsia="ar-SA"/>
        </w:rPr>
        <w:t>техн. збірник. Серія «Економічні науки». – 2012. – Випуск 102. – С. 343–350. – Режим доступу: http://eprints.kname.edu.ua/25233/1/343-350%20Кондратенко%20Но.pdf</w:t>
      </w:r>
      <w:r w:rsidR="002B3BFA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B50E7A" w:rsidRPr="00A36870" w:rsidRDefault="00B50E7A" w:rsidP="00CE7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B50E7A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Глушик М.М. Дослідження операцій / М.М. Глушик, Н.М. Телесницька // Львів: «Новий світ</w:t>
      </w:r>
      <w:r w:rsidR="002B3BFA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-</w:t>
      </w:r>
      <w:r w:rsidRPr="00B50E7A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2000», 2011.</w:t>
      </w:r>
      <w:r w:rsidR="002B3BFA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 xml:space="preserve"> </w:t>
      </w:r>
      <w:r w:rsidR="002B3BFA" w:rsidRPr="00D1733A">
        <w:rPr>
          <w:rFonts w:ascii="Times New Roman" w:hAnsi="Times New Roman" w:cs="Times New Roman"/>
          <w:sz w:val="28"/>
          <w:szCs w:val="28"/>
          <w:lang w:val="uk-UA" w:eastAsia="ar-SA"/>
        </w:rPr>
        <w:t>–</w:t>
      </w:r>
      <w:r w:rsidRPr="00B50E7A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 xml:space="preserve"> 368 с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.</w:t>
      </w:r>
    </w:p>
    <w:sectPr w:rsidR="00B50E7A" w:rsidRPr="00A36870" w:rsidSect="00E6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7A9B"/>
    <w:multiLevelType w:val="hybridMultilevel"/>
    <w:tmpl w:val="B242044C"/>
    <w:lvl w:ilvl="0" w:tplc="9948D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B954E9"/>
    <w:multiLevelType w:val="hybridMultilevel"/>
    <w:tmpl w:val="C28C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3FE7"/>
    <w:multiLevelType w:val="hybridMultilevel"/>
    <w:tmpl w:val="97503C10"/>
    <w:lvl w:ilvl="0" w:tplc="F552DE6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29E439C"/>
    <w:multiLevelType w:val="hybridMultilevel"/>
    <w:tmpl w:val="D78A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D521F"/>
    <w:multiLevelType w:val="hybridMultilevel"/>
    <w:tmpl w:val="6106ABD0"/>
    <w:lvl w:ilvl="0" w:tplc="D9D666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97E"/>
    <w:multiLevelType w:val="hybridMultilevel"/>
    <w:tmpl w:val="35A4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70632"/>
    <w:multiLevelType w:val="hybridMultilevel"/>
    <w:tmpl w:val="56B02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F6531"/>
    <w:multiLevelType w:val="hybridMultilevel"/>
    <w:tmpl w:val="0C38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97AC7"/>
    <w:multiLevelType w:val="hybridMultilevel"/>
    <w:tmpl w:val="4934DC64"/>
    <w:lvl w:ilvl="0" w:tplc="01C42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671268"/>
    <w:multiLevelType w:val="hybridMultilevel"/>
    <w:tmpl w:val="23EE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846"/>
    <w:rsid w:val="000B6EF6"/>
    <w:rsid w:val="00172219"/>
    <w:rsid w:val="00177537"/>
    <w:rsid w:val="001B4325"/>
    <w:rsid w:val="001E657D"/>
    <w:rsid w:val="001F11B0"/>
    <w:rsid w:val="001F6E64"/>
    <w:rsid w:val="002B3BFA"/>
    <w:rsid w:val="00343B1F"/>
    <w:rsid w:val="00344C6D"/>
    <w:rsid w:val="00422309"/>
    <w:rsid w:val="004427F1"/>
    <w:rsid w:val="004E08CE"/>
    <w:rsid w:val="0052345A"/>
    <w:rsid w:val="00527846"/>
    <w:rsid w:val="0053063D"/>
    <w:rsid w:val="00532041"/>
    <w:rsid w:val="00533F89"/>
    <w:rsid w:val="005B321A"/>
    <w:rsid w:val="005B47F2"/>
    <w:rsid w:val="005D6806"/>
    <w:rsid w:val="005F7C2F"/>
    <w:rsid w:val="00602FB2"/>
    <w:rsid w:val="00637C6C"/>
    <w:rsid w:val="00655486"/>
    <w:rsid w:val="006876EB"/>
    <w:rsid w:val="006C7547"/>
    <w:rsid w:val="006D056E"/>
    <w:rsid w:val="006F1A2D"/>
    <w:rsid w:val="007637CB"/>
    <w:rsid w:val="007D37F6"/>
    <w:rsid w:val="00820EF4"/>
    <w:rsid w:val="00865CD8"/>
    <w:rsid w:val="00875FF4"/>
    <w:rsid w:val="008868FB"/>
    <w:rsid w:val="0089319A"/>
    <w:rsid w:val="008B424C"/>
    <w:rsid w:val="008B69F1"/>
    <w:rsid w:val="009A36F6"/>
    <w:rsid w:val="009B0F66"/>
    <w:rsid w:val="00A36870"/>
    <w:rsid w:val="00AC0026"/>
    <w:rsid w:val="00B50E7A"/>
    <w:rsid w:val="00BD4E72"/>
    <w:rsid w:val="00BE57A5"/>
    <w:rsid w:val="00C51DCD"/>
    <w:rsid w:val="00CC78C2"/>
    <w:rsid w:val="00CE7E5C"/>
    <w:rsid w:val="00D15DAC"/>
    <w:rsid w:val="00D1733A"/>
    <w:rsid w:val="00D27740"/>
    <w:rsid w:val="00D55504"/>
    <w:rsid w:val="00D803A0"/>
    <w:rsid w:val="00D97EED"/>
    <w:rsid w:val="00DB10B4"/>
    <w:rsid w:val="00E669B4"/>
    <w:rsid w:val="00E9473B"/>
    <w:rsid w:val="00F75921"/>
    <w:rsid w:val="00FF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77"/>
        <o:r id="V:Rule13" type="connector" idref="#_x0000_s1083"/>
        <o:r id="V:Rule14" type="connector" idref="#_x0000_s1067"/>
        <o:r id="V:Rule15" type="connector" idref="#_x0000_s1079"/>
        <o:r id="V:Rule16" type="connector" idref="#_x0000_s1081"/>
        <o:r id="V:Rule17" type="connector" idref="#_x0000_s1071"/>
        <o:r id="V:Rule18" type="connector" idref="#_x0000_s1072"/>
        <o:r id="V:Rule19" type="connector" idref="#_x0000_s1078"/>
        <o:r id="V:Rule20" type="connector" idref="#_x0000_s1073"/>
        <o:r id="V:Rule21" type="connector" idref="#_x0000_s1076"/>
        <o:r id="V:Rule22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7A"/>
    <w:pPr>
      <w:ind w:left="720"/>
      <w:contextualSpacing/>
    </w:pPr>
  </w:style>
  <w:style w:type="table" w:customStyle="1" w:styleId="20">
    <w:name w:val="Сетка таблицы20"/>
    <w:basedOn w:val="a1"/>
    <w:next w:val="a4"/>
    <w:uiPriority w:val="59"/>
    <w:rsid w:val="00DB1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B1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Михаил</cp:lastModifiedBy>
  <cp:revision>28</cp:revision>
  <dcterms:created xsi:type="dcterms:W3CDTF">2017-04-20T19:58:00Z</dcterms:created>
  <dcterms:modified xsi:type="dcterms:W3CDTF">2017-06-30T07:18:00Z</dcterms:modified>
</cp:coreProperties>
</file>