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BC" w:rsidRDefault="00014DE7" w:rsidP="00014DE7">
      <w:pPr>
        <w:spacing w:after="0" w:line="240" w:lineRule="auto"/>
        <w:jc w:val="center"/>
        <w:outlineLvl w:val="0"/>
        <w:rPr>
          <w:rFonts w:ascii="Times New Roman" w:hAnsi="Times New Roman" w:cs="Times New Roman"/>
          <w:b/>
          <w:color w:val="333333"/>
          <w:sz w:val="32"/>
          <w:szCs w:val="32"/>
          <w:lang w:val="uk-UA"/>
        </w:rPr>
      </w:pPr>
      <w:r w:rsidRPr="00014DE7">
        <w:rPr>
          <w:rFonts w:ascii="Times New Roman" w:hAnsi="Times New Roman" w:cs="Times New Roman"/>
          <w:b/>
          <w:color w:val="333333"/>
          <w:sz w:val="32"/>
          <w:szCs w:val="32"/>
          <w:lang w:val="uk-UA"/>
        </w:rPr>
        <w:t>Концентрація вищих навчальних закладів як спосіб покращення якості</w:t>
      </w:r>
      <w:r w:rsidR="00C654BC">
        <w:rPr>
          <w:rFonts w:ascii="Times New Roman" w:hAnsi="Times New Roman" w:cs="Times New Roman"/>
          <w:b/>
          <w:color w:val="333333"/>
          <w:sz w:val="32"/>
          <w:szCs w:val="32"/>
          <w:lang w:val="uk-UA"/>
        </w:rPr>
        <w:t xml:space="preserve"> надання послуг вищої освіти</w:t>
      </w:r>
    </w:p>
    <w:p w:rsidR="00014DE7" w:rsidRPr="00014DE7" w:rsidRDefault="00014DE7" w:rsidP="00014DE7">
      <w:pPr>
        <w:spacing w:after="0" w:line="240" w:lineRule="auto"/>
        <w:jc w:val="center"/>
        <w:outlineLvl w:val="0"/>
        <w:rPr>
          <w:rFonts w:ascii="Times New Roman" w:hAnsi="Times New Roman" w:cs="Times New Roman"/>
          <w:b/>
          <w:color w:val="333333"/>
          <w:sz w:val="32"/>
          <w:szCs w:val="32"/>
          <w:lang w:val="uk-UA"/>
        </w:rPr>
      </w:pPr>
      <w:r w:rsidRPr="00014DE7">
        <w:rPr>
          <w:rFonts w:ascii="Times New Roman" w:hAnsi="Times New Roman" w:cs="Times New Roman"/>
          <w:b/>
          <w:color w:val="333333"/>
          <w:sz w:val="32"/>
          <w:szCs w:val="32"/>
          <w:lang w:val="uk-UA"/>
        </w:rPr>
        <w:t>(на прикладі спеціальності «Маркетинг»)</w:t>
      </w:r>
    </w:p>
    <w:p w:rsidR="00FE0F81" w:rsidRPr="00FE0F81" w:rsidRDefault="00FE0F81" w:rsidP="00FE0F81">
      <w:pPr>
        <w:spacing w:after="0" w:line="240" w:lineRule="auto"/>
        <w:ind w:firstLine="709"/>
        <w:jc w:val="both"/>
        <w:rPr>
          <w:rFonts w:ascii="Times New Roman" w:hAnsi="Times New Roman"/>
          <w:sz w:val="28"/>
          <w:szCs w:val="28"/>
          <w:lang w:val="uk-UA"/>
        </w:rPr>
      </w:pPr>
    </w:p>
    <w:p w:rsidR="003F4638" w:rsidRPr="00FE0F81" w:rsidRDefault="003F4638" w:rsidP="00FE0F81">
      <w:pPr>
        <w:spacing w:after="0" w:line="240" w:lineRule="auto"/>
        <w:ind w:firstLine="709"/>
        <w:jc w:val="both"/>
        <w:rPr>
          <w:rFonts w:ascii="Times New Roman" w:hAnsi="Times New Roman"/>
          <w:sz w:val="28"/>
          <w:szCs w:val="28"/>
          <w:lang w:val="uk-UA"/>
        </w:rPr>
      </w:pPr>
      <w:r w:rsidRPr="00FE0F81">
        <w:rPr>
          <w:rFonts w:ascii="Times New Roman" w:hAnsi="Times New Roman"/>
          <w:sz w:val="28"/>
          <w:szCs w:val="28"/>
          <w:lang w:val="uk-UA"/>
        </w:rPr>
        <w:t>В період кризи та реформування економіки держави питання про надання послуг вищої освіти відійшло на другий план, що є суттєвою помилкою, адже сама вища освіта є ключовим аспектом розвитку держави, її економічної та політичної стабільності, фундаментом для впровадження інновацій. Саме правильно побудована і налагоджена система освіти дозволяє підготувати висококваліфіковані кадри, що будуть розвивати як внутрішні, так і зовнішні економічні зв’язки, налагоджувати виробництво у всіх сферах діяльності держави, зміцнювати її авторитет.</w:t>
      </w:r>
    </w:p>
    <w:p w:rsidR="003F4638" w:rsidRPr="00FE0F81" w:rsidRDefault="003F4638" w:rsidP="00FE0F81">
      <w:pPr>
        <w:spacing w:after="0" w:line="240" w:lineRule="auto"/>
        <w:ind w:firstLine="709"/>
        <w:jc w:val="both"/>
        <w:rPr>
          <w:rFonts w:ascii="Times New Roman" w:hAnsi="Times New Roman"/>
          <w:sz w:val="28"/>
          <w:szCs w:val="28"/>
          <w:lang w:val="uk-UA"/>
        </w:rPr>
      </w:pPr>
      <w:r w:rsidRPr="00FE0F81">
        <w:rPr>
          <w:rFonts w:ascii="Times New Roman" w:hAnsi="Times New Roman"/>
          <w:sz w:val="28"/>
          <w:szCs w:val="28"/>
          <w:lang w:val="uk-UA"/>
        </w:rPr>
        <w:t>Система вищої освіти, її сутність та змістовність змінюються із року в рік – тут і вплив Болонського процесу, що направлений на покращення взаємозв’язків між країнами-учасниками, зміна потреб на ринку праці, нові технології та методології викладання матеріалу та багато іншого. Говорячи більш конкретно, можна виділити наступні тенденції:</w:t>
      </w:r>
    </w:p>
    <w:p w:rsidR="003F4638" w:rsidRPr="00FE0F81" w:rsidRDefault="003F4638" w:rsidP="00FE0F81">
      <w:pPr>
        <w:pStyle w:val="1"/>
        <w:numPr>
          <w:ilvl w:val="0"/>
          <w:numId w:val="1"/>
        </w:numPr>
        <w:spacing w:after="0" w:line="240" w:lineRule="auto"/>
        <w:ind w:left="0" w:firstLine="709"/>
        <w:jc w:val="both"/>
        <w:rPr>
          <w:rFonts w:ascii="Times New Roman" w:hAnsi="Times New Roman"/>
          <w:sz w:val="28"/>
          <w:szCs w:val="28"/>
          <w:lang w:val="uk-UA"/>
        </w:rPr>
      </w:pPr>
      <w:r w:rsidRPr="00FE0F81">
        <w:rPr>
          <w:rFonts w:ascii="Times New Roman" w:hAnsi="Times New Roman"/>
          <w:sz w:val="28"/>
          <w:szCs w:val="28"/>
          <w:lang w:val="uk-UA"/>
        </w:rPr>
        <w:t>у зв’язку зі зниженням народжуваності, з кожним роком падає кількість випускників шкіл, що означає зниження кількості абітурієнтів;</w:t>
      </w:r>
    </w:p>
    <w:p w:rsidR="003F4638" w:rsidRPr="00FE0F81" w:rsidRDefault="003F4638" w:rsidP="00FE0F81">
      <w:pPr>
        <w:pStyle w:val="1"/>
        <w:numPr>
          <w:ilvl w:val="0"/>
          <w:numId w:val="1"/>
        </w:numPr>
        <w:spacing w:after="0" w:line="240" w:lineRule="auto"/>
        <w:ind w:left="0" w:firstLine="709"/>
        <w:jc w:val="both"/>
        <w:rPr>
          <w:rFonts w:ascii="Times New Roman" w:hAnsi="Times New Roman"/>
          <w:sz w:val="28"/>
          <w:szCs w:val="28"/>
          <w:lang w:val="uk-UA"/>
        </w:rPr>
      </w:pPr>
      <w:r w:rsidRPr="00FE0F81">
        <w:rPr>
          <w:rFonts w:ascii="Times New Roman" w:hAnsi="Times New Roman"/>
          <w:sz w:val="28"/>
          <w:szCs w:val="28"/>
          <w:lang w:val="uk-UA"/>
        </w:rPr>
        <w:t>пропозиція на ринку освітніх послуг значно перевищує попит на неї – через невисоку кількість вступників та велику кількість навчальних закладів вищої освіти;</w:t>
      </w:r>
    </w:p>
    <w:p w:rsidR="003F4638" w:rsidRPr="00FE0F81" w:rsidRDefault="003F4638" w:rsidP="00FE0F81">
      <w:pPr>
        <w:pStyle w:val="1"/>
        <w:numPr>
          <w:ilvl w:val="0"/>
          <w:numId w:val="1"/>
        </w:numPr>
        <w:spacing w:after="0" w:line="240" w:lineRule="auto"/>
        <w:ind w:left="0" w:firstLine="709"/>
        <w:jc w:val="both"/>
        <w:rPr>
          <w:rFonts w:ascii="Times New Roman" w:hAnsi="Times New Roman"/>
          <w:sz w:val="28"/>
          <w:szCs w:val="28"/>
          <w:lang w:val="uk-UA"/>
        </w:rPr>
      </w:pPr>
      <w:r w:rsidRPr="00FE0F81">
        <w:rPr>
          <w:rFonts w:ascii="Times New Roman" w:hAnsi="Times New Roman"/>
          <w:sz w:val="28"/>
          <w:szCs w:val="28"/>
          <w:lang w:val="uk-UA"/>
        </w:rPr>
        <w:t xml:space="preserve">інфраструктура ринку послуг вищої освіти активно змінюється та розвивається; </w:t>
      </w:r>
    </w:p>
    <w:p w:rsidR="003F4638" w:rsidRPr="00FE0F81" w:rsidRDefault="003F4638" w:rsidP="00FE0F81">
      <w:pPr>
        <w:pStyle w:val="1"/>
        <w:numPr>
          <w:ilvl w:val="0"/>
          <w:numId w:val="1"/>
        </w:numPr>
        <w:spacing w:after="0" w:line="240" w:lineRule="auto"/>
        <w:ind w:left="0" w:firstLine="709"/>
        <w:jc w:val="both"/>
        <w:rPr>
          <w:rFonts w:ascii="Times New Roman" w:hAnsi="Times New Roman"/>
          <w:sz w:val="28"/>
          <w:szCs w:val="28"/>
          <w:lang w:val="uk-UA"/>
        </w:rPr>
      </w:pPr>
      <w:r w:rsidRPr="00FE0F81">
        <w:rPr>
          <w:rFonts w:ascii="Times New Roman" w:hAnsi="Times New Roman"/>
          <w:sz w:val="28"/>
          <w:szCs w:val="28"/>
          <w:lang w:val="uk-UA"/>
        </w:rPr>
        <w:t>неможливість забезпечення державою необхідної матеріальної підтримки інститутам та університетам і, як наслідок, вищим навчальним закладам доводиться боротися за кожного абітурієнта.</w:t>
      </w:r>
    </w:p>
    <w:p w:rsidR="003F4638" w:rsidRPr="00FE0F81" w:rsidRDefault="003F4638" w:rsidP="00FE0F81">
      <w:pPr>
        <w:spacing w:after="0" w:line="240" w:lineRule="auto"/>
        <w:ind w:firstLine="709"/>
        <w:jc w:val="both"/>
        <w:rPr>
          <w:rFonts w:ascii="Times New Roman" w:hAnsi="Times New Roman"/>
          <w:sz w:val="28"/>
          <w:szCs w:val="28"/>
          <w:lang w:val="uk-UA"/>
        </w:rPr>
      </w:pPr>
      <w:r w:rsidRPr="00FE0F81">
        <w:rPr>
          <w:rFonts w:ascii="Times New Roman" w:hAnsi="Times New Roman"/>
          <w:sz w:val="28"/>
          <w:szCs w:val="28"/>
          <w:lang w:val="uk-UA"/>
        </w:rPr>
        <w:t>За таких умов, університетам та інститутам доводиться боротися за кожного абітурієнта усіма можливими способами. Комусь це вдається, комусь ні. Висока конкуренція на ринку послуг вищої освіти спонукає керівництво вишів активізовувати свою діяльність, використовуючи усі відомі та доступні інструменти маркетингу, пропонувати унікальні послуги. Але навіть активна діяльність може не дати видимих результа</w:t>
      </w:r>
      <w:r w:rsidR="00C654BC">
        <w:rPr>
          <w:rFonts w:ascii="Times New Roman" w:hAnsi="Times New Roman"/>
          <w:sz w:val="28"/>
          <w:szCs w:val="28"/>
          <w:lang w:val="uk-UA"/>
        </w:rPr>
        <w:t>тів.</w:t>
      </w:r>
    </w:p>
    <w:p w:rsidR="003F4638" w:rsidRPr="00FE0F81" w:rsidRDefault="003F4638" w:rsidP="00FE0F81">
      <w:pPr>
        <w:spacing w:after="0" w:line="240" w:lineRule="auto"/>
        <w:ind w:firstLine="709"/>
        <w:jc w:val="both"/>
        <w:rPr>
          <w:rFonts w:ascii="Times New Roman" w:hAnsi="Times New Roman" w:cs="Times New Roman"/>
          <w:sz w:val="28"/>
          <w:szCs w:val="28"/>
          <w:lang w:val="uk-UA"/>
        </w:rPr>
      </w:pPr>
      <w:r w:rsidRPr="00FE0F81">
        <w:rPr>
          <w:rFonts w:ascii="Times New Roman" w:hAnsi="Times New Roman" w:cs="Times New Roman"/>
          <w:sz w:val="28"/>
          <w:szCs w:val="28"/>
          <w:lang w:val="uk-UA"/>
        </w:rPr>
        <w:t>Вдосконаленню системи вищої освіти та роботи її окремих елементів присвячено багато робіт та публікацій зарубіжних та вітчизняних науковців. Серед них А.І. Чміль, Я. Мельник, Б. Дадашев, Ю.Чекушина, Г. Дмитренко, В.Афанасьєв. Останнім часом з’являються публікації, у яких розглядаються питання щодо впровадження територіально – галузевих кластерів, що дозволить зробити освітні послуги більш якісними, а роботу закладів вищої освіти більш продуктивною.</w:t>
      </w:r>
    </w:p>
    <w:p w:rsidR="000F5544" w:rsidRPr="00FE0F81" w:rsidRDefault="000F5544" w:rsidP="00FE0F81">
      <w:pPr>
        <w:spacing w:after="0" w:line="240" w:lineRule="auto"/>
        <w:ind w:firstLine="709"/>
        <w:jc w:val="both"/>
        <w:rPr>
          <w:rFonts w:ascii="Times New Roman" w:hAnsi="Times New Roman"/>
          <w:sz w:val="28"/>
          <w:szCs w:val="28"/>
          <w:lang w:val="uk-UA"/>
        </w:rPr>
      </w:pPr>
      <w:r w:rsidRPr="00FE0F81">
        <w:rPr>
          <w:rFonts w:ascii="Times New Roman" w:hAnsi="Times New Roman"/>
          <w:sz w:val="28"/>
          <w:szCs w:val="28"/>
          <w:lang w:val="uk-UA"/>
        </w:rPr>
        <w:t>Метою статті</w:t>
      </w:r>
      <w:r w:rsidRPr="00FE0F81">
        <w:rPr>
          <w:rFonts w:ascii="Times New Roman" w:hAnsi="Times New Roman"/>
          <w:i/>
          <w:sz w:val="28"/>
          <w:szCs w:val="28"/>
          <w:lang w:val="uk-UA"/>
        </w:rPr>
        <w:t xml:space="preserve"> </w:t>
      </w:r>
      <w:r w:rsidRPr="00FE0F81">
        <w:rPr>
          <w:rFonts w:ascii="Times New Roman" w:hAnsi="Times New Roman"/>
          <w:sz w:val="28"/>
          <w:szCs w:val="28"/>
          <w:lang w:val="uk-UA"/>
        </w:rPr>
        <w:t xml:space="preserve">є аналіз ситуації на ринку послуг вищої освіти та пошук шляхів вдосконалення системи вищих навчальних закладів шляхом </w:t>
      </w:r>
      <w:r w:rsidRPr="00FE0F81">
        <w:rPr>
          <w:rFonts w:ascii="Times New Roman" w:hAnsi="Times New Roman"/>
          <w:sz w:val="28"/>
          <w:szCs w:val="28"/>
          <w:lang w:val="uk-UA"/>
        </w:rPr>
        <w:lastRenderedPageBreak/>
        <w:t>створення на базі вже існуючих інститутів регіональних навчальних центрів на прик</w:t>
      </w:r>
      <w:r w:rsidR="00503C71">
        <w:rPr>
          <w:rFonts w:ascii="Times New Roman" w:hAnsi="Times New Roman"/>
          <w:sz w:val="28"/>
          <w:szCs w:val="28"/>
          <w:lang w:val="uk-UA"/>
        </w:rPr>
        <w:t>ладі спеціальності «маркетинг».</w:t>
      </w:r>
    </w:p>
    <w:p w:rsidR="000F5544" w:rsidRPr="00FE0F81" w:rsidRDefault="000F5544" w:rsidP="00FE0F81">
      <w:pPr>
        <w:spacing w:after="0" w:line="240" w:lineRule="auto"/>
        <w:ind w:firstLine="709"/>
        <w:jc w:val="both"/>
        <w:rPr>
          <w:rFonts w:ascii="Times New Roman" w:hAnsi="Times New Roman"/>
          <w:sz w:val="28"/>
          <w:szCs w:val="28"/>
          <w:lang w:val="uk-UA"/>
        </w:rPr>
      </w:pPr>
      <w:r w:rsidRPr="00FE0F81">
        <w:rPr>
          <w:rFonts w:ascii="Times New Roman" w:hAnsi="Times New Roman"/>
          <w:sz w:val="28"/>
          <w:szCs w:val="28"/>
          <w:lang w:val="uk-UA"/>
        </w:rPr>
        <w:t>Застосування механізмів маркетингу сьогодні є важливою складовою у формуванні ефективної системи освіти в Україні. Саме маркетинг, заснований на формуванні попиту на освітні послуги та його задоволення, забезпечує комплексне управління виробництвом і збутом послуг у сфері освіти.</w:t>
      </w:r>
    </w:p>
    <w:p w:rsidR="000F5544" w:rsidRPr="00FE0F81" w:rsidRDefault="000F5544" w:rsidP="00FE0F81">
      <w:pPr>
        <w:spacing w:after="0" w:line="240" w:lineRule="auto"/>
        <w:ind w:firstLine="709"/>
        <w:jc w:val="both"/>
        <w:rPr>
          <w:rFonts w:ascii="Times New Roman" w:hAnsi="Times New Roman"/>
          <w:sz w:val="28"/>
          <w:szCs w:val="28"/>
          <w:lang w:val="uk-UA"/>
        </w:rPr>
      </w:pPr>
      <w:r w:rsidRPr="00FE0F81">
        <w:rPr>
          <w:rFonts w:ascii="Times New Roman" w:hAnsi="Times New Roman"/>
          <w:sz w:val="28"/>
          <w:szCs w:val="28"/>
          <w:lang w:val="uk-UA"/>
        </w:rPr>
        <w:t>Як відомо, комплексна маркетингова робота починається з дослідження як зовнішнього, так і внутрішнього середовища.</w:t>
      </w:r>
    </w:p>
    <w:p w:rsidR="000F5544" w:rsidRPr="00FE0F81" w:rsidRDefault="000F5544" w:rsidP="00FE0F81">
      <w:pPr>
        <w:spacing w:after="0" w:line="240" w:lineRule="auto"/>
        <w:ind w:firstLine="709"/>
        <w:jc w:val="both"/>
        <w:rPr>
          <w:rFonts w:ascii="Times New Roman" w:hAnsi="Times New Roman"/>
          <w:sz w:val="28"/>
          <w:szCs w:val="28"/>
          <w:lang w:val="uk-UA"/>
        </w:rPr>
      </w:pPr>
      <w:r w:rsidRPr="00FE0F81">
        <w:rPr>
          <w:rFonts w:ascii="Times New Roman" w:hAnsi="Times New Roman"/>
          <w:sz w:val="28"/>
          <w:szCs w:val="28"/>
          <w:lang w:val="uk-UA"/>
        </w:rPr>
        <w:t>Досліджуючи вступні кампанії ВНЗ за 2011-2015 навчальний рік, ба</w:t>
      </w:r>
      <w:r w:rsidR="00C654BC">
        <w:rPr>
          <w:rFonts w:ascii="Times New Roman" w:hAnsi="Times New Roman"/>
          <w:sz w:val="28"/>
          <w:szCs w:val="28"/>
          <w:lang w:val="uk-UA"/>
        </w:rPr>
        <w:t>чимо наступну ситуацію (рис. 1).</w:t>
      </w:r>
    </w:p>
    <w:p w:rsidR="000F5544" w:rsidRPr="000F5544" w:rsidRDefault="000F5544" w:rsidP="000F5544">
      <w:pPr>
        <w:spacing w:after="0"/>
        <w:jc w:val="center"/>
        <w:rPr>
          <w:rFonts w:ascii="Times New Roman" w:hAnsi="Times New Roman"/>
          <w:sz w:val="20"/>
          <w:szCs w:val="20"/>
          <w:lang w:val="uk-UA"/>
        </w:rPr>
      </w:pPr>
      <w:r>
        <w:rPr>
          <w:noProof/>
          <w:lang w:eastAsia="ru-RU"/>
        </w:rPr>
        <w:drawing>
          <wp:inline distT="0" distB="0" distL="0" distR="0">
            <wp:extent cx="5762445" cy="385600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5544" w:rsidRPr="00C654BC" w:rsidRDefault="000F5544" w:rsidP="000F5544">
      <w:pPr>
        <w:tabs>
          <w:tab w:val="left" w:pos="915"/>
        </w:tabs>
        <w:spacing w:line="240" w:lineRule="auto"/>
        <w:jc w:val="center"/>
        <w:rPr>
          <w:rFonts w:ascii="Times New Roman" w:hAnsi="Times New Roman"/>
          <w:sz w:val="28"/>
          <w:szCs w:val="28"/>
        </w:rPr>
      </w:pPr>
      <w:r w:rsidRPr="00C654BC">
        <w:rPr>
          <w:rFonts w:ascii="Times New Roman" w:hAnsi="Times New Roman"/>
          <w:sz w:val="28"/>
          <w:szCs w:val="28"/>
          <w:lang w:val="uk-UA"/>
        </w:rPr>
        <w:t>Рисунок 1 – Результати вступних кампаній за спеціальністю маркетинг, Україна, 2011-2015 рр.</w:t>
      </w:r>
      <w:r w:rsidR="00C654BC">
        <w:rPr>
          <w:rFonts w:ascii="Times New Roman" w:hAnsi="Times New Roman"/>
          <w:sz w:val="28"/>
          <w:szCs w:val="28"/>
          <w:lang w:val="uk-UA"/>
        </w:rPr>
        <w:t xml:space="preserve"> </w:t>
      </w:r>
      <w:r w:rsidR="00C654BC" w:rsidRPr="00FE0F81">
        <w:rPr>
          <w:rFonts w:ascii="Times New Roman" w:hAnsi="Times New Roman"/>
          <w:sz w:val="28"/>
          <w:szCs w:val="28"/>
        </w:rPr>
        <w:t>[</w:t>
      </w:r>
      <w:r w:rsidR="00C654BC" w:rsidRPr="00FE0F81">
        <w:rPr>
          <w:rFonts w:ascii="Times New Roman" w:hAnsi="Times New Roman"/>
          <w:sz w:val="28"/>
          <w:szCs w:val="28"/>
          <w:lang w:val="uk-UA"/>
        </w:rPr>
        <w:t>1</w:t>
      </w:r>
      <w:r w:rsidR="00C654BC" w:rsidRPr="00FE0F81">
        <w:rPr>
          <w:rFonts w:ascii="Times New Roman" w:hAnsi="Times New Roman"/>
          <w:sz w:val="28"/>
          <w:szCs w:val="28"/>
        </w:rPr>
        <w:t>]</w:t>
      </w:r>
    </w:p>
    <w:p w:rsidR="000F5544" w:rsidRPr="000465CF" w:rsidRDefault="000F5544" w:rsidP="000465CF">
      <w:pPr>
        <w:tabs>
          <w:tab w:val="left" w:pos="2976"/>
        </w:tabs>
        <w:spacing w:after="0" w:line="240" w:lineRule="auto"/>
        <w:ind w:firstLine="709"/>
        <w:jc w:val="both"/>
        <w:rPr>
          <w:rFonts w:ascii="Times New Roman" w:hAnsi="Times New Roman"/>
          <w:color w:val="000000"/>
          <w:sz w:val="28"/>
          <w:szCs w:val="28"/>
          <w:shd w:val="clear" w:color="auto" w:fill="FFFFFF"/>
          <w:lang w:val="uk-UA"/>
        </w:rPr>
      </w:pPr>
      <w:r w:rsidRPr="000465CF">
        <w:rPr>
          <w:rFonts w:ascii="Times New Roman" w:hAnsi="Times New Roman"/>
          <w:color w:val="000000"/>
          <w:sz w:val="28"/>
          <w:szCs w:val="28"/>
          <w:shd w:val="clear" w:color="auto" w:fill="FFFFFF"/>
          <w:lang w:val="uk-UA"/>
        </w:rPr>
        <w:t>Як видно з гістограми, набір студентів був найбільшим у 2012 році, після чого повільно зменшується з кожним роком. А от стосовно ліцензій – ситуація зовсім інша. Кількість місць на цю спеціальність постійно збільшується. Але це не є показником гарного результату, адже якщо поглянути на графік – стає очевидним, що жодного року з проаналізованих нами, обсяг зарахованих на навчання студентів в обсязі ліценції не перевищував 50%.</w:t>
      </w:r>
    </w:p>
    <w:p w:rsidR="000F5544" w:rsidRDefault="000F5544" w:rsidP="000465CF">
      <w:pPr>
        <w:tabs>
          <w:tab w:val="left" w:pos="2976"/>
        </w:tabs>
        <w:spacing w:after="0" w:line="240" w:lineRule="auto"/>
        <w:ind w:firstLine="709"/>
        <w:jc w:val="both"/>
        <w:rPr>
          <w:rFonts w:ascii="Times New Roman" w:hAnsi="Times New Roman"/>
          <w:color w:val="000000"/>
          <w:sz w:val="28"/>
          <w:szCs w:val="28"/>
          <w:shd w:val="clear" w:color="auto" w:fill="FFFFFF"/>
          <w:lang w:val="uk-UA"/>
        </w:rPr>
      </w:pPr>
      <w:r w:rsidRPr="000465CF">
        <w:rPr>
          <w:rFonts w:ascii="Times New Roman" w:hAnsi="Times New Roman"/>
          <w:color w:val="000000"/>
          <w:sz w:val="28"/>
          <w:szCs w:val="28"/>
          <w:shd w:val="clear" w:color="auto" w:fill="FFFFFF"/>
          <w:lang w:val="uk-UA"/>
        </w:rPr>
        <w:t>Проведення вступної кампанії має свою особливу специфіку. Вважається, що чим більше заяв на вступ отримає університет чи окрема спеціальність – тим більше студентів буде зараховано, але це не є правилом (табл.</w:t>
      </w:r>
      <w:r w:rsidR="000465CF">
        <w:rPr>
          <w:rFonts w:ascii="Times New Roman" w:hAnsi="Times New Roman"/>
          <w:color w:val="000000"/>
          <w:sz w:val="28"/>
          <w:szCs w:val="28"/>
          <w:shd w:val="clear" w:color="auto" w:fill="FFFFFF"/>
          <w:lang w:val="uk-UA"/>
        </w:rPr>
        <w:t xml:space="preserve"> 1).</w:t>
      </w:r>
    </w:p>
    <w:p w:rsidR="000F5544" w:rsidRPr="000465CF" w:rsidRDefault="000F5544" w:rsidP="00B40711">
      <w:pPr>
        <w:tabs>
          <w:tab w:val="left" w:pos="4170"/>
        </w:tabs>
        <w:jc w:val="center"/>
        <w:rPr>
          <w:rFonts w:ascii="Times New Roman" w:hAnsi="Times New Roman"/>
          <w:color w:val="000000"/>
          <w:sz w:val="28"/>
          <w:szCs w:val="28"/>
          <w:shd w:val="clear" w:color="auto" w:fill="FFFFFF"/>
          <w:lang w:val="uk-UA"/>
        </w:rPr>
      </w:pPr>
      <w:r w:rsidRPr="000465CF">
        <w:rPr>
          <w:rFonts w:ascii="Times New Roman" w:hAnsi="Times New Roman"/>
          <w:color w:val="000000"/>
          <w:sz w:val="28"/>
          <w:szCs w:val="28"/>
          <w:shd w:val="clear" w:color="auto" w:fill="FFFFFF"/>
          <w:lang w:val="uk-UA"/>
        </w:rPr>
        <w:lastRenderedPageBreak/>
        <w:t>Таблиця 1 – Статистика вступної кампанії деяких університетів України за 2015 рік</w:t>
      </w:r>
    </w:p>
    <w:tbl>
      <w:tblPr>
        <w:tblStyle w:val="a3"/>
        <w:tblW w:w="9214" w:type="dxa"/>
        <w:tblInd w:w="392" w:type="dxa"/>
        <w:tblLayout w:type="fixed"/>
        <w:tblLook w:val="04A0"/>
      </w:tblPr>
      <w:tblGrid>
        <w:gridCol w:w="1984"/>
        <w:gridCol w:w="993"/>
        <w:gridCol w:w="1275"/>
        <w:gridCol w:w="1134"/>
        <w:gridCol w:w="1276"/>
        <w:gridCol w:w="1134"/>
        <w:gridCol w:w="1418"/>
      </w:tblGrid>
      <w:tr w:rsidR="000F5544" w:rsidRPr="003B0B49" w:rsidTr="000F5544">
        <w:tc>
          <w:tcPr>
            <w:tcW w:w="198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ВНЗ</w:t>
            </w:r>
          </w:p>
        </w:tc>
        <w:tc>
          <w:tcPr>
            <w:tcW w:w="993"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Ліцензія, чол.</w:t>
            </w:r>
          </w:p>
        </w:tc>
        <w:tc>
          <w:tcPr>
            <w:tcW w:w="1275"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Державне замовлення, чол.</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Кількість заяв, чол.</w:t>
            </w:r>
          </w:p>
        </w:tc>
        <w:tc>
          <w:tcPr>
            <w:tcW w:w="1276"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Зараховано, чол.</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Загальний конкурс, чол./місце</w:t>
            </w:r>
          </w:p>
        </w:tc>
        <w:tc>
          <w:tcPr>
            <w:tcW w:w="1418"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Наповненість ліцензії, %</w:t>
            </w:r>
          </w:p>
        </w:tc>
      </w:tr>
      <w:tr w:rsidR="000F5544" w:rsidRPr="003B0B49" w:rsidTr="000F5544">
        <w:tc>
          <w:tcPr>
            <w:tcW w:w="1984" w:type="dxa"/>
          </w:tcPr>
          <w:p w:rsidR="000F5544" w:rsidRPr="000F5544" w:rsidRDefault="000F5544" w:rsidP="00B641BF">
            <w:pPr>
              <w:tabs>
                <w:tab w:val="left" w:pos="4170"/>
              </w:tabs>
              <w:jc w:val="both"/>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Дніпропетровський державний аграрно-економічний університет</w:t>
            </w:r>
          </w:p>
        </w:tc>
        <w:tc>
          <w:tcPr>
            <w:tcW w:w="993"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50</w:t>
            </w:r>
          </w:p>
        </w:tc>
        <w:tc>
          <w:tcPr>
            <w:tcW w:w="1275"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15</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643</w:t>
            </w:r>
          </w:p>
        </w:tc>
        <w:tc>
          <w:tcPr>
            <w:tcW w:w="1276"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37</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12,86</w:t>
            </w:r>
          </w:p>
        </w:tc>
        <w:tc>
          <w:tcPr>
            <w:tcW w:w="1418"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74</w:t>
            </w:r>
          </w:p>
        </w:tc>
      </w:tr>
      <w:tr w:rsidR="000F5544" w:rsidRPr="003B0B49" w:rsidTr="000F5544">
        <w:tc>
          <w:tcPr>
            <w:tcW w:w="1984" w:type="dxa"/>
          </w:tcPr>
          <w:p w:rsidR="000F5544" w:rsidRPr="000F5544" w:rsidRDefault="000F5544" w:rsidP="00B641BF">
            <w:pPr>
              <w:tabs>
                <w:tab w:val="left" w:pos="4170"/>
              </w:tabs>
              <w:jc w:val="both"/>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Київський національний економічний університет ім. Вадима Гетьмана</w:t>
            </w:r>
          </w:p>
        </w:tc>
        <w:tc>
          <w:tcPr>
            <w:tcW w:w="993"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155</w:t>
            </w:r>
          </w:p>
        </w:tc>
        <w:tc>
          <w:tcPr>
            <w:tcW w:w="1275"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36</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1519</w:t>
            </w:r>
          </w:p>
        </w:tc>
        <w:tc>
          <w:tcPr>
            <w:tcW w:w="1276"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91</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9,80</w:t>
            </w:r>
          </w:p>
        </w:tc>
        <w:tc>
          <w:tcPr>
            <w:tcW w:w="1418"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59</w:t>
            </w:r>
          </w:p>
        </w:tc>
      </w:tr>
      <w:tr w:rsidR="000F5544" w:rsidRPr="003B0B49" w:rsidTr="000F5544">
        <w:tc>
          <w:tcPr>
            <w:tcW w:w="1984" w:type="dxa"/>
          </w:tcPr>
          <w:p w:rsidR="000F5544" w:rsidRPr="000F5544" w:rsidRDefault="000F5544" w:rsidP="00B641BF">
            <w:pPr>
              <w:tabs>
                <w:tab w:val="left" w:pos="4170"/>
              </w:tabs>
              <w:jc w:val="both"/>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Київський національний університет ім. Тараса Шевченка</w:t>
            </w:r>
          </w:p>
        </w:tc>
        <w:tc>
          <w:tcPr>
            <w:tcW w:w="993"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50</w:t>
            </w:r>
          </w:p>
        </w:tc>
        <w:tc>
          <w:tcPr>
            <w:tcW w:w="1275"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10</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600</w:t>
            </w:r>
          </w:p>
        </w:tc>
        <w:tc>
          <w:tcPr>
            <w:tcW w:w="1276"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24</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12,00</w:t>
            </w:r>
          </w:p>
        </w:tc>
        <w:tc>
          <w:tcPr>
            <w:tcW w:w="1418"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48</w:t>
            </w:r>
          </w:p>
        </w:tc>
      </w:tr>
      <w:tr w:rsidR="000F5544" w:rsidRPr="003B0B49" w:rsidTr="000F5544">
        <w:tc>
          <w:tcPr>
            <w:tcW w:w="1984" w:type="dxa"/>
          </w:tcPr>
          <w:p w:rsidR="000F5544" w:rsidRPr="000F5544" w:rsidRDefault="000F5544" w:rsidP="00B641BF">
            <w:pPr>
              <w:tabs>
                <w:tab w:val="left" w:pos="4170"/>
              </w:tabs>
              <w:jc w:val="both"/>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Національний університет «Києво-Могилянська академія»</w:t>
            </w:r>
          </w:p>
        </w:tc>
        <w:tc>
          <w:tcPr>
            <w:tcW w:w="993"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35</w:t>
            </w:r>
          </w:p>
        </w:tc>
        <w:tc>
          <w:tcPr>
            <w:tcW w:w="1275"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19</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1190</w:t>
            </w:r>
          </w:p>
        </w:tc>
        <w:tc>
          <w:tcPr>
            <w:tcW w:w="1276"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35</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34,00</w:t>
            </w:r>
          </w:p>
        </w:tc>
        <w:tc>
          <w:tcPr>
            <w:tcW w:w="1418"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100</w:t>
            </w:r>
          </w:p>
        </w:tc>
      </w:tr>
      <w:tr w:rsidR="000F5544" w:rsidRPr="003B0B49" w:rsidTr="000F5544">
        <w:tc>
          <w:tcPr>
            <w:tcW w:w="1984" w:type="dxa"/>
          </w:tcPr>
          <w:p w:rsidR="000F5544" w:rsidRPr="000F5544" w:rsidRDefault="000F5544" w:rsidP="00B641BF">
            <w:pPr>
              <w:tabs>
                <w:tab w:val="left" w:pos="4170"/>
              </w:tabs>
              <w:jc w:val="both"/>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Національний технічний університет «Київський політехнічний інститут»</w:t>
            </w:r>
          </w:p>
        </w:tc>
        <w:tc>
          <w:tcPr>
            <w:tcW w:w="993"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80</w:t>
            </w:r>
          </w:p>
        </w:tc>
        <w:tc>
          <w:tcPr>
            <w:tcW w:w="1275"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10</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1075</w:t>
            </w:r>
          </w:p>
        </w:tc>
        <w:tc>
          <w:tcPr>
            <w:tcW w:w="1276"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22</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13,44</w:t>
            </w:r>
          </w:p>
        </w:tc>
        <w:tc>
          <w:tcPr>
            <w:tcW w:w="1418"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28</w:t>
            </w:r>
          </w:p>
        </w:tc>
      </w:tr>
      <w:tr w:rsidR="000F5544" w:rsidRPr="003B0B49" w:rsidTr="000F5544">
        <w:tc>
          <w:tcPr>
            <w:tcW w:w="1984" w:type="dxa"/>
          </w:tcPr>
          <w:p w:rsidR="000F5544" w:rsidRPr="000F5544" w:rsidRDefault="000F5544" w:rsidP="00B641BF">
            <w:pPr>
              <w:tabs>
                <w:tab w:val="left" w:pos="4170"/>
              </w:tabs>
              <w:jc w:val="both"/>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Національний технічний університет «Львівська політехніка»</w:t>
            </w:r>
          </w:p>
        </w:tc>
        <w:tc>
          <w:tcPr>
            <w:tcW w:w="993"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100</w:t>
            </w:r>
          </w:p>
        </w:tc>
        <w:tc>
          <w:tcPr>
            <w:tcW w:w="1275"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9</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633</w:t>
            </w:r>
          </w:p>
        </w:tc>
        <w:tc>
          <w:tcPr>
            <w:tcW w:w="1276"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44</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6,33</w:t>
            </w:r>
          </w:p>
        </w:tc>
        <w:tc>
          <w:tcPr>
            <w:tcW w:w="1418"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44</w:t>
            </w:r>
          </w:p>
        </w:tc>
      </w:tr>
      <w:tr w:rsidR="000F5544" w:rsidRPr="003B0B49" w:rsidTr="000F5544">
        <w:tc>
          <w:tcPr>
            <w:tcW w:w="1984" w:type="dxa"/>
          </w:tcPr>
          <w:p w:rsidR="000F5544" w:rsidRPr="000F5544" w:rsidRDefault="000F5544" w:rsidP="00B641BF">
            <w:pPr>
              <w:tabs>
                <w:tab w:val="left" w:pos="4170"/>
              </w:tabs>
              <w:jc w:val="both"/>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Харківський національний університет ім. В.Н. Каразіна</w:t>
            </w:r>
          </w:p>
        </w:tc>
        <w:tc>
          <w:tcPr>
            <w:tcW w:w="993"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60</w:t>
            </w:r>
          </w:p>
        </w:tc>
        <w:tc>
          <w:tcPr>
            <w:tcW w:w="1275"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8</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328</w:t>
            </w:r>
          </w:p>
        </w:tc>
        <w:tc>
          <w:tcPr>
            <w:tcW w:w="1276"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33</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5,47</w:t>
            </w:r>
          </w:p>
        </w:tc>
        <w:tc>
          <w:tcPr>
            <w:tcW w:w="1418"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55</w:t>
            </w:r>
          </w:p>
        </w:tc>
      </w:tr>
      <w:tr w:rsidR="000F5544" w:rsidRPr="003B0B49" w:rsidTr="000F5544">
        <w:tc>
          <w:tcPr>
            <w:tcW w:w="1984" w:type="dxa"/>
          </w:tcPr>
          <w:p w:rsidR="000F5544" w:rsidRPr="000F5544" w:rsidRDefault="000F5544" w:rsidP="00B641BF">
            <w:pPr>
              <w:tabs>
                <w:tab w:val="left" w:pos="4170"/>
              </w:tabs>
              <w:jc w:val="both"/>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Одеський національний економічний університет</w:t>
            </w:r>
          </w:p>
        </w:tc>
        <w:tc>
          <w:tcPr>
            <w:tcW w:w="993"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65</w:t>
            </w:r>
          </w:p>
        </w:tc>
        <w:tc>
          <w:tcPr>
            <w:tcW w:w="1275"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15</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379</w:t>
            </w:r>
          </w:p>
        </w:tc>
        <w:tc>
          <w:tcPr>
            <w:tcW w:w="1276"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32</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5,83</w:t>
            </w:r>
          </w:p>
        </w:tc>
        <w:tc>
          <w:tcPr>
            <w:tcW w:w="1418"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49</w:t>
            </w:r>
          </w:p>
        </w:tc>
      </w:tr>
      <w:tr w:rsidR="000F5544" w:rsidRPr="003B0B49" w:rsidTr="000F5544">
        <w:tc>
          <w:tcPr>
            <w:tcW w:w="1984" w:type="dxa"/>
          </w:tcPr>
          <w:p w:rsidR="000F5544" w:rsidRPr="000F5544" w:rsidRDefault="000F5544" w:rsidP="00B641BF">
            <w:pPr>
              <w:tabs>
                <w:tab w:val="left" w:pos="4170"/>
              </w:tabs>
              <w:jc w:val="both"/>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Одеський національний політехнічний університет</w:t>
            </w:r>
          </w:p>
        </w:tc>
        <w:tc>
          <w:tcPr>
            <w:tcW w:w="993"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50</w:t>
            </w:r>
          </w:p>
        </w:tc>
        <w:tc>
          <w:tcPr>
            <w:tcW w:w="1275"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3</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363</w:t>
            </w:r>
          </w:p>
        </w:tc>
        <w:tc>
          <w:tcPr>
            <w:tcW w:w="1276"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50</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7,26</w:t>
            </w:r>
          </w:p>
        </w:tc>
        <w:tc>
          <w:tcPr>
            <w:tcW w:w="1418"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100</w:t>
            </w:r>
          </w:p>
        </w:tc>
      </w:tr>
      <w:tr w:rsidR="000F5544" w:rsidTr="000F5544">
        <w:tc>
          <w:tcPr>
            <w:tcW w:w="1984" w:type="dxa"/>
          </w:tcPr>
          <w:p w:rsidR="000F5544" w:rsidRPr="000F5544" w:rsidRDefault="000F5544" w:rsidP="00B641BF">
            <w:pPr>
              <w:tabs>
                <w:tab w:val="left" w:pos="4170"/>
              </w:tabs>
              <w:jc w:val="both"/>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Херсонський національний технічний університет</w:t>
            </w:r>
          </w:p>
        </w:tc>
        <w:tc>
          <w:tcPr>
            <w:tcW w:w="993"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50</w:t>
            </w:r>
          </w:p>
        </w:tc>
        <w:tc>
          <w:tcPr>
            <w:tcW w:w="1275"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7</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121</w:t>
            </w:r>
          </w:p>
        </w:tc>
        <w:tc>
          <w:tcPr>
            <w:tcW w:w="1276"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16</w:t>
            </w:r>
          </w:p>
        </w:tc>
        <w:tc>
          <w:tcPr>
            <w:tcW w:w="1134"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2,42</w:t>
            </w:r>
          </w:p>
        </w:tc>
        <w:tc>
          <w:tcPr>
            <w:tcW w:w="1418" w:type="dxa"/>
          </w:tcPr>
          <w:p w:rsidR="000F5544" w:rsidRPr="000F5544" w:rsidRDefault="000F5544" w:rsidP="00B641BF">
            <w:pPr>
              <w:tabs>
                <w:tab w:val="left" w:pos="4170"/>
              </w:tabs>
              <w:jc w:val="center"/>
              <w:rPr>
                <w:rFonts w:ascii="Times New Roman" w:hAnsi="Times New Roman" w:cs="Times New Roman"/>
                <w:color w:val="000000"/>
                <w:sz w:val="20"/>
                <w:szCs w:val="20"/>
                <w:shd w:val="clear" w:color="auto" w:fill="FFFFFF"/>
                <w:lang w:val="uk-UA"/>
              </w:rPr>
            </w:pPr>
            <w:r w:rsidRPr="000F5544">
              <w:rPr>
                <w:rFonts w:ascii="Times New Roman" w:hAnsi="Times New Roman" w:cs="Times New Roman"/>
                <w:color w:val="000000"/>
                <w:sz w:val="20"/>
                <w:szCs w:val="20"/>
                <w:shd w:val="clear" w:color="auto" w:fill="FFFFFF"/>
                <w:lang w:val="uk-UA"/>
              </w:rPr>
              <w:t>32</w:t>
            </w:r>
          </w:p>
        </w:tc>
      </w:tr>
    </w:tbl>
    <w:p w:rsidR="00BC02DA" w:rsidRDefault="00BC02DA" w:rsidP="000F5544">
      <w:pPr>
        <w:rPr>
          <w:rFonts w:ascii="Times New Roman" w:hAnsi="Times New Roman" w:cs="Times New Roman"/>
          <w:sz w:val="20"/>
          <w:szCs w:val="20"/>
          <w:lang w:val="uk-UA"/>
        </w:rPr>
      </w:pPr>
    </w:p>
    <w:p w:rsidR="000465CF" w:rsidRPr="000465CF" w:rsidRDefault="000465CF" w:rsidP="000465CF">
      <w:pPr>
        <w:spacing w:after="0" w:line="240" w:lineRule="auto"/>
        <w:ind w:firstLine="709"/>
        <w:jc w:val="both"/>
        <w:rPr>
          <w:rFonts w:ascii="Times New Roman" w:hAnsi="Times New Roman"/>
          <w:sz w:val="28"/>
          <w:szCs w:val="28"/>
          <w:lang w:val="uk-UA"/>
        </w:rPr>
      </w:pPr>
      <w:r w:rsidRPr="000465CF">
        <w:rPr>
          <w:rFonts w:ascii="Times New Roman" w:hAnsi="Times New Roman"/>
          <w:sz w:val="28"/>
          <w:szCs w:val="28"/>
          <w:lang w:val="uk-UA"/>
        </w:rPr>
        <w:t>Як видно з таблиці, навіть ті університети, конкурс в яких перевищує 10 чоловік на місце – не набирають 100% свого ліцензованого обсягу. Взагалі, у 2015 році лише 2-м університетам вдалося набрати у свої ряди заплановану кількість студентів. Це Одеський національний політехнічний університет та Національний університет «Києво-Могилянська академія».</w:t>
      </w:r>
    </w:p>
    <w:p w:rsidR="000465CF" w:rsidRPr="00503C71" w:rsidRDefault="000465CF" w:rsidP="00503C71">
      <w:pPr>
        <w:spacing w:after="0" w:line="240" w:lineRule="auto"/>
        <w:ind w:firstLine="709"/>
        <w:jc w:val="both"/>
        <w:rPr>
          <w:rFonts w:ascii="Times New Roman" w:hAnsi="Times New Roman"/>
          <w:sz w:val="28"/>
          <w:szCs w:val="28"/>
        </w:rPr>
      </w:pPr>
      <w:r w:rsidRPr="00503C71">
        <w:rPr>
          <w:rFonts w:ascii="Times New Roman" w:hAnsi="Times New Roman"/>
          <w:sz w:val="28"/>
          <w:szCs w:val="28"/>
          <w:lang w:val="uk-UA"/>
        </w:rPr>
        <w:lastRenderedPageBreak/>
        <w:t>Нашим завданням є виявлення критеріїв впливу на вибір того чи іншого навчального закладу та пропозиція конкретних маркетингових дій для покращення та оптимізації роботи ВНЗ.</w:t>
      </w:r>
    </w:p>
    <w:p w:rsidR="000F5544" w:rsidRPr="00503C71" w:rsidRDefault="000F5544" w:rsidP="00503C71">
      <w:pPr>
        <w:spacing w:after="0" w:line="240" w:lineRule="auto"/>
        <w:ind w:firstLine="709"/>
        <w:jc w:val="both"/>
        <w:rPr>
          <w:rFonts w:ascii="Times New Roman" w:hAnsi="Times New Roman"/>
          <w:sz w:val="28"/>
          <w:szCs w:val="28"/>
          <w:lang w:val="uk-UA"/>
        </w:rPr>
      </w:pPr>
      <w:r w:rsidRPr="00503C71">
        <w:rPr>
          <w:rFonts w:ascii="Times New Roman" w:hAnsi="Times New Roman"/>
          <w:sz w:val="28"/>
          <w:szCs w:val="28"/>
          <w:lang w:val="uk-UA"/>
        </w:rPr>
        <w:t>Розглянемо насиченість викладання спеціальності «маркетинг» у розрізі регіонів (рис.</w:t>
      </w:r>
      <w:r w:rsidRPr="00503C71">
        <w:rPr>
          <w:rFonts w:ascii="Times New Roman" w:hAnsi="Times New Roman"/>
          <w:sz w:val="28"/>
          <w:szCs w:val="28"/>
        </w:rPr>
        <w:t xml:space="preserve"> </w:t>
      </w:r>
      <w:r w:rsidRPr="00503C71">
        <w:rPr>
          <w:rFonts w:ascii="Times New Roman" w:hAnsi="Times New Roman"/>
          <w:sz w:val="28"/>
          <w:szCs w:val="28"/>
          <w:lang w:val="uk-UA"/>
        </w:rPr>
        <w:t>2.).</w:t>
      </w:r>
    </w:p>
    <w:p w:rsidR="000F5544" w:rsidRPr="00503C71" w:rsidRDefault="00B40711" w:rsidP="00B40711">
      <w:pPr>
        <w:jc w:val="center"/>
        <w:rPr>
          <w:rFonts w:ascii="Times New Roman" w:hAnsi="Times New Roman"/>
          <w:sz w:val="28"/>
          <w:szCs w:val="28"/>
          <w:lang w:val="uk-UA"/>
        </w:rPr>
      </w:pPr>
      <w:r>
        <w:rPr>
          <w:noProof/>
          <w:lang w:eastAsia="ru-RU"/>
        </w:rPr>
        <w:drawing>
          <wp:inline distT="0" distB="0" distL="0" distR="0">
            <wp:extent cx="5762445" cy="3890513"/>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0F5544" w:rsidRPr="00503C71">
        <w:rPr>
          <w:rFonts w:ascii="Times New Roman" w:hAnsi="Times New Roman"/>
          <w:sz w:val="28"/>
          <w:szCs w:val="28"/>
          <w:lang w:val="uk-UA"/>
        </w:rPr>
        <w:t>Рисунок 2 – Обсяг набору на перший курс навчання спеціальності «маркетинг» за регіонами України, 2015 рік</w:t>
      </w:r>
    </w:p>
    <w:p w:rsidR="00503C71" w:rsidRPr="00503C71" w:rsidRDefault="00503C71" w:rsidP="00503C71">
      <w:pPr>
        <w:spacing w:after="0" w:line="240" w:lineRule="auto"/>
        <w:ind w:firstLine="709"/>
        <w:jc w:val="both"/>
        <w:rPr>
          <w:rFonts w:ascii="Times New Roman" w:hAnsi="Times New Roman"/>
          <w:sz w:val="28"/>
          <w:szCs w:val="28"/>
          <w:lang w:val="uk-UA"/>
        </w:rPr>
      </w:pPr>
      <w:r w:rsidRPr="00503C71">
        <w:rPr>
          <w:rFonts w:ascii="Times New Roman" w:hAnsi="Times New Roman"/>
          <w:sz w:val="28"/>
          <w:szCs w:val="28"/>
          <w:lang w:val="uk-UA"/>
        </w:rPr>
        <w:t>Таким чином, ми бачимо, що найбільша кількість студентів 1-го курсу навчається у Київський, Дніпропетровській, Харківській та Одеській областях. Кількість абітурієнтів, що стали студентами у цих регіонах становить – 326, 128, 115 та 108 чоловік відповідно. З них, лише в Одеській області було подолано бар’єр в 50% - наповненість ліцензії тут складає 64%. В деяких областях кількість студентів-першокурсників складає менше 10 чоловік – це Івано-Франківська, Кіровоградська та Рівненська області.</w:t>
      </w:r>
    </w:p>
    <w:p w:rsidR="000F5544" w:rsidRPr="00503C71" w:rsidRDefault="000F5544" w:rsidP="00503C71">
      <w:pPr>
        <w:spacing w:after="0" w:line="240" w:lineRule="auto"/>
        <w:ind w:firstLine="709"/>
        <w:jc w:val="both"/>
        <w:rPr>
          <w:rFonts w:ascii="Times New Roman" w:hAnsi="Times New Roman"/>
          <w:sz w:val="28"/>
          <w:szCs w:val="28"/>
          <w:lang w:val="uk-UA"/>
        </w:rPr>
      </w:pPr>
      <w:r w:rsidRPr="00503C71">
        <w:rPr>
          <w:rFonts w:ascii="Times New Roman" w:hAnsi="Times New Roman"/>
          <w:sz w:val="28"/>
          <w:szCs w:val="28"/>
          <w:lang w:val="uk-UA"/>
        </w:rPr>
        <w:t>На нашу думку, це може бути пов’язано з декількома факторами: по-перше – затребуваність професії у регіоні, по-друге – якість надання освітніх послуг(професорсько-викладацький склад, репутація кафедр та інститутів, матеріально-технічна база університетів та ін.), по-третє – ефективна або неефективна маркетингова робота ВНЗ у даних регіонах.</w:t>
      </w:r>
    </w:p>
    <w:p w:rsidR="000F5544" w:rsidRPr="00503C71" w:rsidRDefault="000F5544" w:rsidP="00503C71">
      <w:pPr>
        <w:spacing w:after="0" w:line="240" w:lineRule="auto"/>
        <w:ind w:firstLine="709"/>
        <w:jc w:val="both"/>
        <w:rPr>
          <w:rFonts w:ascii="Times New Roman" w:hAnsi="Times New Roman"/>
          <w:sz w:val="28"/>
          <w:szCs w:val="28"/>
          <w:lang w:val="uk-UA"/>
        </w:rPr>
      </w:pPr>
      <w:r w:rsidRPr="00503C71">
        <w:rPr>
          <w:rFonts w:ascii="Times New Roman" w:hAnsi="Times New Roman"/>
          <w:sz w:val="28"/>
          <w:szCs w:val="28"/>
          <w:lang w:val="uk-UA"/>
        </w:rPr>
        <w:t xml:space="preserve">Кількість державних ВНЗ, в яких є спеціальність «маркетинг», на 2015 рік складає – 55 університетів та інститутів. Кількість студентів у цих навчальних закладах – майже 5,5 тис. чоловік. Розглянемо обсяг студентів </w:t>
      </w:r>
      <w:r w:rsidRPr="00503C71">
        <w:rPr>
          <w:rFonts w:ascii="Times New Roman" w:hAnsi="Times New Roman"/>
          <w:sz w:val="28"/>
          <w:szCs w:val="28"/>
          <w:lang w:val="uk-UA"/>
        </w:rPr>
        <w:lastRenderedPageBreak/>
        <w:t>за спеціальністю «маркетинг» з точки зору регіонального розміщення (табл. 2).</w:t>
      </w:r>
    </w:p>
    <w:p w:rsidR="00B40711" w:rsidRPr="00503C71" w:rsidRDefault="00B40711" w:rsidP="00503C71">
      <w:pPr>
        <w:tabs>
          <w:tab w:val="left" w:pos="915"/>
          <w:tab w:val="left" w:pos="2565"/>
        </w:tabs>
        <w:spacing w:after="0" w:line="240" w:lineRule="auto"/>
        <w:ind w:firstLine="709"/>
        <w:jc w:val="center"/>
        <w:rPr>
          <w:rFonts w:ascii="Times New Roman" w:hAnsi="Times New Roman"/>
          <w:sz w:val="28"/>
          <w:szCs w:val="28"/>
          <w:lang w:val="uk-UA"/>
        </w:rPr>
      </w:pPr>
      <w:r w:rsidRPr="00503C71">
        <w:rPr>
          <w:rFonts w:ascii="Times New Roman" w:hAnsi="Times New Roman"/>
          <w:sz w:val="28"/>
          <w:szCs w:val="28"/>
          <w:lang w:val="uk-UA"/>
        </w:rPr>
        <w:t>Таблиця 2 – Загальна кількість студентів спеціальності «маркетинг» за регіональним розміщенням</w:t>
      </w:r>
    </w:p>
    <w:tbl>
      <w:tblPr>
        <w:tblW w:w="7324" w:type="dxa"/>
        <w:jc w:val="center"/>
        <w:tblInd w:w="103" w:type="dxa"/>
        <w:tblLook w:val="0000"/>
      </w:tblPr>
      <w:tblGrid>
        <w:gridCol w:w="1900"/>
        <w:gridCol w:w="1600"/>
        <w:gridCol w:w="1184"/>
        <w:gridCol w:w="2640"/>
      </w:tblGrid>
      <w:tr w:rsidR="00B40711" w:rsidRPr="00F707E8" w:rsidTr="00B641BF">
        <w:trPr>
          <w:trHeight w:val="555"/>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0711" w:rsidRPr="00F707E8" w:rsidRDefault="00B40711" w:rsidP="009B412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Область</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B40711" w:rsidRPr="00F707E8" w:rsidRDefault="00B40711" w:rsidP="009B412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Кількість ВНЗ</w:t>
            </w:r>
          </w:p>
        </w:tc>
        <w:tc>
          <w:tcPr>
            <w:tcW w:w="1184" w:type="dxa"/>
            <w:tcBorders>
              <w:top w:val="single" w:sz="4" w:space="0" w:color="auto"/>
              <w:left w:val="nil"/>
              <w:bottom w:val="single" w:sz="4" w:space="0" w:color="auto"/>
              <w:right w:val="single" w:sz="4" w:space="0" w:color="auto"/>
            </w:tcBorders>
            <w:shd w:val="clear" w:color="auto" w:fill="auto"/>
            <w:noWrap/>
            <w:vAlign w:val="bottom"/>
          </w:tcPr>
          <w:p w:rsidR="00B40711" w:rsidRPr="00F707E8" w:rsidRDefault="00B40711" w:rsidP="009B412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Зараховано</w:t>
            </w:r>
          </w:p>
        </w:tc>
        <w:tc>
          <w:tcPr>
            <w:tcW w:w="2640" w:type="dxa"/>
            <w:tcBorders>
              <w:top w:val="single" w:sz="4" w:space="0" w:color="auto"/>
              <w:left w:val="nil"/>
              <w:bottom w:val="nil"/>
              <w:right w:val="single" w:sz="4" w:space="0" w:color="auto"/>
            </w:tcBorders>
            <w:shd w:val="clear" w:color="auto" w:fill="auto"/>
            <w:vAlign w:val="bottom"/>
          </w:tcPr>
          <w:p w:rsidR="00B40711" w:rsidRPr="00F707E8" w:rsidRDefault="00B40711" w:rsidP="009B412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Загальна кількість студенті</w:t>
            </w:r>
            <w:proofErr w:type="gramStart"/>
            <w:r w:rsidRPr="00F707E8">
              <w:rPr>
                <w:rFonts w:ascii="Times New Roman" w:hAnsi="Times New Roman"/>
                <w:sz w:val="20"/>
                <w:szCs w:val="20"/>
                <w:lang w:eastAsia="ru-RU"/>
              </w:rPr>
              <w:t>в</w:t>
            </w:r>
            <w:proofErr w:type="gramEnd"/>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Вінницька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12</w:t>
            </w:r>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149</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 xml:space="preserve">Волинська </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14</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54</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Дніпропетровська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6</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128</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859</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Житомирська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13</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57</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 xml:space="preserve">Закарпатська </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2</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16</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45</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Запоріжська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2</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27</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158</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Івано-Франківська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8</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51</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Київська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10</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326</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1631</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Кіровоградська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4</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22</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 xml:space="preserve">Львівська </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3</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76</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357</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Миколаївська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0</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0</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0</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Одеська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4</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108</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504</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Полтавська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3</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56</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228</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proofErr w:type="gramStart"/>
            <w:r w:rsidRPr="00F707E8">
              <w:rPr>
                <w:rFonts w:ascii="Times New Roman" w:hAnsi="Times New Roman"/>
                <w:sz w:val="20"/>
                <w:szCs w:val="20"/>
                <w:lang w:eastAsia="ru-RU"/>
              </w:rPr>
              <w:t>Р</w:t>
            </w:r>
            <w:proofErr w:type="gramEnd"/>
            <w:r w:rsidRPr="00F707E8">
              <w:rPr>
                <w:rFonts w:ascii="Times New Roman" w:hAnsi="Times New Roman"/>
                <w:sz w:val="20"/>
                <w:szCs w:val="20"/>
                <w:lang w:eastAsia="ru-RU"/>
              </w:rPr>
              <w:t>івненська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5</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38</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Сумська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2</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35</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163</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Тернопільська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2</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43</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156</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Харківська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8</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115</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578</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Херсонська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16</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41</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Хмельницька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19</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94</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Черкаська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3</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29</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154</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Чернівецька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17</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70</w:t>
            </w:r>
          </w:p>
        </w:tc>
      </w:tr>
      <w:tr w:rsidR="00B40711" w:rsidRPr="00F707E8" w:rsidTr="00B641BF">
        <w:trPr>
          <w:trHeight w:val="255"/>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rsidR="00B40711" w:rsidRPr="00F707E8" w:rsidRDefault="00B40711" w:rsidP="00B641BF">
            <w:pPr>
              <w:spacing w:after="0" w:line="240" w:lineRule="auto"/>
              <w:rPr>
                <w:rFonts w:ascii="Times New Roman" w:hAnsi="Times New Roman"/>
                <w:sz w:val="20"/>
                <w:szCs w:val="20"/>
                <w:lang w:eastAsia="ru-RU"/>
              </w:rPr>
            </w:pPr>
            <w:r w:rsidRPr="00F707E8">
              <w:rPr>
                <w:rFonts w:ascii="Times New Roman" w:hAnsi="Times New Roman"/>
                <w:sz w:val="20"/>
                <w:szCs w:val="20"/>
                <w:lang w:eastAsia="ru-RU"/>
              </w:rPr>
              <w:t>Чернігівська</w:t>
            </w:r>
          </w:p>
        </w:tc>
        <w:tc>
          <w:tcPr>
            <w:tcW w:w="160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1</w:t>
            </w:r>
          </w:p>
        </w:tc>
        <w:tc>
          <w:tcPr>
            <w:tcW w:w="1184"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24</w:t>
            </w:r>
          </w:p>
        </w:tc>
        <w:tc>
          <w:tcPr>
            <w:tcW w:w="2640" w:type="dxa"/>
            <w:tcBorders>
              <w:top w:val="nil"/>
              <w:left w:val="nil"/>
              <w:bottom w:val="single" w:sz="4" w:space="0" w:color="auto"/>
              <w:right w:val="single" w:sz="4" w:space="0" w:color="auto"/>
            </w:tcBorders>
            <w:shd w:val="clear" w:color="auto" w:fill="auto"/>
            <w:noWrap/>
            <w:vAlign w:val="bottom"/>
          </w:tcPr>
          <w:p w:rsidR="00B40711" w:rsidRPr="00F707E8" w:rsidRDefault="00B40711" w:rsidP="00E03E69">
            <w:pPr>
              <w:spacing w:after="0" w:line="240" w:lineRule="auto"/>
              <w:jc w:val="center"/>
              <w:rPr>
                <w:rFonts w:ascii="Times New Roman" w:hAnsi="Times New Roman"/>
                <w:sz w:val="20"/>
                <w:szCs w:val="20"/>
                <w:lang w:eastAsia="ru-RU"/>
              </w:rPr>
            </w:pPr>
            <w:r w:rsidRPr="00F707E8">
              <w:rPr>
                <w:rFonts w:ascii="Times New Roman" w:hAnsi="Times New Roman"/>
                <w:sz w:val="20"/>
                <w:szCs w:val="20"/>
                <w:lang w:eastAsia="ru-RU"/>
              </w:rPr>
              <w:t>62</w:t>
            </w:r>
          </w:p>
        </w:tc>
      </w:tr>
    </w:tbl>
    <w:p w:rsidR="00B40711" w:rsidRDefault="00B40711" w:rsidP="000F5544">
      <w:pPr>
        <w:rPr>
          <w:rFonts w:ascii="Times New Roman" w:hAnsi="Times New Roman" w:cs="Times New Roman"/>
          <w:sz w:val="20"/>
          <w:szCs w:val="20"/>
          <w:lang w:val="uk-UA"/>
        </w:rPr>
      </w:pPr>
    </w:p>
    <w:p w:rsidR="00472E5D" w:rsidRPr="00503C71" w:rsidRDefault="00472E5D" w:rsidP="00472E5D">
      <w:pPr>
        <w:spacing w:after="0" w:line="240" w:lineRule="auto"/>
        <w:ind w:firstLine="709"/>
        <w:jc w:val="both"/>
        <w:rPr>
          <w:rFonts w:ascii="Times New Roman" w:hAnsi="Times New Roman"/>
          <w:sz w:val="28"/>
          <w:szCs w:val="28"/>
          <w:lang w:val="uk-UA"/>
        </w:rPr>
      </w:pPr>
      <w:r w:rsidRPr="00503C71">
        <w:rPr>
          <w:rFonts w:ascii="Times New Roman" w:hAnsi="Times New Roman"/>
          <w:sz w:val="28"/>
          <w:szCs w:val="28"/>
          <w:lang w:val="uk-UA"/>
        </w:rPr>
        <w:t>Новою для України перспективною формою взаємодії влади, бізнесу і громадськості може стати їх спільна діяльність в складі територіально-галузевих кластерів - добровільних об'єднань взаємодопов</w:t>
      </w:r>
      <w:r>
        <w:rPr>
          <w:rFonts w:ascii="Times New Roman" w:hAnsi="Times New Roman"/>
          <w:sz w:val="28"/>
          <w:szCs w:val="28"/>
          <w:lang w:val="uk-UA"/>
        </w:rPr>
        <w:t>нюючих територіальних ресурсів.</w:t>
      </w:r>
    </w:p>
    <w:p w:rsidR="00472E5D" w:rsidRPr="00503C71" w:rsidRDefault="00472E5D" w:rsidP="00472E5D">
      <w:pPr>
        <w:spacing w:after="0" w:line="240" w:lineRule="auto"/>
        <w:ind w:firstLine="709"/>
        <w:jc w:val="both"/>
        <w:rPr>
          <w:rFonts w:ascii="Times New Roman" w:hAnsi="Times New Roman"/>
          <w:sz w:val="28"/>
          <w:szCs w:val="28"/>
          <w:lang w:val="uk-UA"/>
        </w:rPr>
      </w:pPr>
      <w:r w:rsidRPr="00503C71">
        <w:rPr>
          <w:rFonts w:ascii="Times New Roman" w:hAnsi="Times New Roman"/>
          <w:sz w:val="28"/>
          <w:szCs w:val="28"/>
          <w:lang w:val="uk-UA"/>
        </w:rPr>
        <w:t xml:space="preserve">Останнім часом </w:t>
      </w:r>
      <w:proofErr w:type="spellStart"/>
      <w:r w:rsidRPr="00503C71">
        <w:rPr>
          <w:rFonts w:ascii="Times New Roman" w:hAnsi="Times New Roman"/>
          <w:sz w:val="28"/>
          <w:szCs w:val="28"/>
          <w:lang w:val="uk-UA"/>
        </w:rPr>
        <w:t>кластерна</w:t>
      </w:r>
      <w:proofErr w:type="spellEnd"/>
      <w:r w:rsidRPr="00503C71">
        <w:rPr>
          <w:rFonts w:ascii="Times New Roman" w:hAnsi="Times New Roman"/>
          <w:sz w:val="28"/>
          <w:szCs w:val="28"/>
          <w:lang w:val="uk-UA"/>
        </w:rPr>
        <w:t xml:space="preserve"> політика набуває більш широкого розповсюдження і визнання як інструмент для підвищення конкурентоспроможності регіонів і країни в цілому за рахунок регіональних зусиль щодо зближення промисловості, наукових розробок і освіти. Відповідно, актуальним питанням інноваційного розвитку економіки на сьогодні є створення кластерів для зростання територій, стимулювання їхнього технічного прогресу та підвищення конкурентоспроможності регіонів. Кластер є унікальною фінансово-економічною і організаційною формою взаємодії ресурсів, їх спільної діяльності, прогресивною формою організації капіталів і управління. В цілому кластер представляє собою об’єднання різноманітних організацій (промислових компаній, вищих навчальних закладів, технопарків і бізнес-інкубаторів, науково-дослідницьких центрів і лабораторій, банківських і небанківських кредитних установ, інвестиційно-інноваційних компаній, венчурних фондів, органів державного управління, громадських  </w:t>
      </w:r>
      <w:r w:rsidRPr="00503C71">
        <w:rPr>
          <w:rFonts w:ascii="Times New Roman" w:hAnsi="Times New Roman"/>
          <w:sz w:val="28"/>
          <w:szCs w:val="28"/>
          <w:lang w:val="uk-UA"/>
        </w:rPr>
        <w:lastRenderedPageBreak/>
        <w:t xml:space="preserve">організацій тощо), яке дозволяє використовувати переваги </w:t>
      </w:r>
      <w:proofErr w:type="spellStart"/>
      <w:r w:rsidRPr="00503C71">
        <w:rPr>
          <w:rFonts w:ascii="Times New Roman" w:hAnsi="Times New Roman"/>
          <w:sz w:val="28"/>
          <w:szCs w:val="28"/>
          <w:lang w:val="uk-UA"/>
        </w:rPr>
        <w:t>внутрішньофірмової</w:t>
      </w:r>
      <w:proofErr w:type="spellEnd"/>
      <w:r w:rsidRPr="00503C71">
        <w:rPr>
          <w:rFonts w:ascii="Times New Roman" w:hAnsi="Times New Roman"/>
          <w:sz w:val="28"/>
          <w:szCs w:val="28"/>
          <w:lang w:val="uk-UA"/>
        </w:rPr>
        <w:t xml:space="preserve"> ієрархії і ринкового механізму, що дає можливість більш швидко і ефективно розподіляти нові знання, наукові відкриття і винаходи. Ключову роль в інноваційній орієнтації кластера відіграють інфраструктурні системи інтелектуального і фінансового капіталів, які є каталізаторами створення кластерів. Інноваційний потенціал кластера визначається насамперед функціонуванням в комплексі таких учасників, як академічні і галузеві науково-дослідницькі інститути, вищі навчальні заклади, інноваційні інжинірингові центри, підприємства, що запроваджують інновації</w:t>
      </w:r>
      <w:r>
        <w:rPr>
          <w:rFonts w:ascii="Times New Roman" w:hAnsi="Times New Roman"/>
          <w:sz w:val="28"/>
          <w:szCs w:val="28"/>
          <w:lang w:val="uk-UA"/>
        </w:rPr>
        <w:t xml:space="preserve"> </w:t>
      </w:r>
      <w:r w:rsidRPr="00503C71">
        <w:rPr>
          <w:rFonts w:ascii="Times New Roman" w:hAnsi="Times New Roman"/>
          <w:sz w:val="28"/>
          <w:szCs w:val="28"/>
          <w:lang w:val="uk-UA"/>
        </w:rPr>
        <w:t>[2,3]</w:t>
      </w:r>
      <w:r>
        <w:rPr>
          <w:rFonts w:ascii="Times New Roman" w:hAnsi="Times New Roman"/>
          <w:sz w:val="28"/>
          <w:szCs w:val="28"/>
          <w:lang w:val="uk-UA"/>
        </w:rPr>
        <w:t>.</w:t>
      </w:r>
    </w:p>
    <w:p w:rsidR="00C25929" w:rsidRDefault="00472E5D" w:rsidP="00C25929">
      <w:pPr>
        <w:autoSpaceDE w:val="0"/>
        <w:autoSpaceDN w:val="0"/>
        <w:adjustRightInd w:val="0"/>
        <w:spacing w:after="0" w:line="240" w:lineRule="auto"/>
        <w:ind w:firstLine="709"/>
        <w:jc w:val="both"/>
        <w:rPr>
          <w:rFonts w:ascii="Times New Roman" w:eastAsia="TimesNewRomanPSMT" w:hAnsi="Times New Roman"/>
          <w:sz w:val="28"/>
          <w:szCs w:val="28"/>
          <w:lang w:val="uk-UA" w:eastAsia="ru-RU"/>
        </w:rPr>
      </w:pPr>
      <w:proofErr w:type="spellStart"/>
      <w:r w:rsidRPr="00C25929">
        <w:rPr>
          <w:rFonts w:ascii="Times New Roman" w:eastAsia="TimesNewRomanPSMT" w:hAnsi="Times New Roman"/>
          <w:sz w:val="28"/>
          <w:szCs w:val="28"/>
          <w:lang w:val="uk-UA" w:eastAsia="ru-RU"/>
        </w:rPr>
        <w:t>Освітньо-науковий</w:t>
      </w:r>
      <w:proofErr w:type="spellEnd"/>
      <w:r w:rsidRPr="00C25929">
        <w:rPr>
          <w:rFonts w:ascii="Times New Roman" w:eastAsia="TimesNewRomanPSMT" w:hAnsi="Times New Roman"/>
          <w:sz w:val="28"/>
          <w:szCs w:val="28"/>
          <w:lang w:val="uk-UA" w:eastAsia="ru-RU"/>
        </w:rPr>
        <w:t xml:space="preserve"> кластер повинен бути залучений у формування і реалізацію регіональної інноваційної стратегії «</w:t>
      </w:r>
      <w:r w:rsidRPr="00C25929">
        <w:rPr>
          <w:rFonts w:ascii="Times New Roman" w:eastAsia="TimesNewRomanPSMT" w:hAnsi="Times New Roman"/>
          <w:sz w:val="28"/>
          <w:szCs w:val="28"/>
          <w:lang w:val="en-US" w:eastAsia="ru-RU"/>
        </w:rPr>
        <w:t>smart</w:t>
      </w:r>
      <w:r w:rsidRPr="00C25929">
        <w:rPr>
          <w:rFonts w:ascii="Times New Roman" w:eastAsia="TimesNewRomanPSMT" w:hAnsi="Times New Roman"/>
          <w:sz w:val="28"/>
          <w:szCs w:val="28"/>
          <w:lang w:val="uk-UA" w:eastAsia="ru-RU"/>
        </w:rPr>
        <w:t xml:space="preserve"> </w:t>
      </w:r>
      <w:r w:rsidRPr="00C25929">
        <w:rPr>
          <w:rFonts w:ascii="Times New Roman" w:eastAsia="TimesNewRomanPSMT" w:hAnsi="Times New Roman"/>
          <w:sz w:val="28"/>
          <w:szCs w:val="28"/>
          <w:lang w:val="en-US" w:eastAsia="ru-RU"/>
        </w:rPr>
        <w:t>specialization</w:t>
      </w:r>
      <w:r w:rsidRPr="00C25929">
        <w:rPr>
          <w:rFonts w:ascii="Times New Roman" w:eastAsia="TimesNewRomanPSMT" w:hAnsi="Times New Roman"/>
          <w:sz w:val="28"/>
          <w:szCs w:val="28"/>
          <w:lang w:val="uk-UA" w:eastAsia="ru-RU"/>
        </w:rPr>
        <w:t>», заснованих на ідеї чотирьох «С»: вибір (</w:t>
      </w:r>
      <w:r w:rsidRPr="00C25929">
        <w:rPr>
          <w:rFonts w:ascii="Times New Roman" w:eastAsia="TimesNewRomanPSMT" w:hAnsi="Times New Roman"/>
          <w:sz w:val="28"/>
          <w:szCs w:val="28"/>
          <w:lang w:val="en-US" w:eastAsia="ru-RU"/>
        </w:rPr>
        <w:t>choices</w:t>
      </w:r>
      <w:r w:rsidRPr="00C25929">
        <w:rPr>
          <w:rFonts w:ascii="Times New Roman" w:eastAsia="TimesNewRomanPSMT" w:hAnsi="Times New Roman"/>
          <w:sz w:val="28"/>
          <w:szCs w:val="28"/>
          <w:lang w:val="uk-UA" w:eastAsia="ru-RU"/>
        </w:rPr>
        <w:t>), конкурентна перевага (</w:t>
      </w:r>
      <w:r w:rsidRPr="00C25929">
        <w:rPr>
          <w:rFonts w:ascii="Times New Roman" w:eastAsia="TimesNewRomanPSMT" w:hAnsi="Times New Roman"/>
          <w:sz w:val="28"/>
          <w:szCs w:val="28"/>
          <w:lang w:val="en-US" w:eastAsia="ru-RU"/>
        </w:rPr>
        <w:t>competitive</w:t>
      </w:r>
      <w:r w:rsidRPr="00C25929">
        <w:rPr>
          <w:rFonts w:ascii="Times New Roman" w:eastAsia="TimesNewRomanPSMT" w:hAnsi="Times New Roman"/>
          <w:sz w:val="28"/>
          <w:szCs w:val="28"/>
          <w:lang w:val="uk-UA" w:eastAsia="ru-RU"/>
        </w:rPr>
        <w:t xml:space="preserve"> </w:t>
      </w:r>
      <w:r w:rsidRPr="00C25929">
        <w:rPr>
          <w:rFonts w:ascii="Times New Roman" w:eastAsia="TimesNewRomanPSMT" w:hAnsi="Times New Roman"/>
          <w:sz w:val="28"/>
          <w:szCs w:val="28"/>
          <w:lang w:val="en-US" w:eastAsia="ru-RU"/>
        </w:rPr>
        <w:t>advantage</w:t>
      </w:r>
      <w:r w:rsidRPr="00C25929">
        <w:rPr>
          <w:rFonts w:ascii="Times New Roman" w:eastAsia="TimesNewRomanPSMT" w:hAnsi="Times New Roman"/>
          <w:sz w:val="28"/>
          <w:szCs w:val="28"/>
          <w:lang w:val="uk-UA" w:eastAsia="ru-RU"/>
        </w:rPr>
        <w:t>), критична маса (</w:t>
      </w:r>
      <w:r w:rsidRPr="00C25929">
        <w:rPr>
          <w:rFonts w:ascii="Times New Roman" w:eastAsia="TimesNewRomanPSMT" w:hAnsi="Times New Roman"/>
          <w:sz w:val="28"/>
          <w:szCs w:val="28"/>
          <w:lang w:val="en-US" w:eastAsia="ru-RU"/>
        </w:rPr>
        <w:t>critical</w:t>
      </w:r>
      <w:r w:rsidRPr="00C25929">
        <w:rPr>
          <w:rFonts w:ascii="Times New Roman" w:eastAsia="TimesNewRomanPSMT" w:hAnsi="Times New Roman"/>
          <w:sz w:val="28"/>
          <w:szCs w:val="28"/>
          <w:lang w:val="uk-UA" w:eastAsia="ru-RU"/>
        </w:rPr>
        <w:t xml:space="preserve"> </w:t>
      </w:r>
      <w:r w:rsidRPr="00C25929">
        <w:rPr>
          <w:rFonts w:ascii="Times New Roman" w:eastAsia="TimesNewRomanPSMT" w:hAnsi="Times New Roman"/>
          <w:sz w:val="28"/>
          <w:szCs w:val="28"/>
          <w:lang w:val="en-US" w:eastAsia="ru-RU"/>
        </w:rPr>
        <w:t>mass</w:t>
      </w:r>
      <w:r w:rsidRPr="00C25929">
        <w:rPr>
          <w:rFonts w:ascii="Times New Roman" w:eastAsia="TimesNewRomanPSMT" w:hAnsi="Times New Roman"/>
          <w:sz w:val="28"/>
          <w:szCs w:val="28"/>
          <w:lang w:val="uk-UA" w:eastAsia="ru-RU"/>
        </w:rPr>
        <w:t>), спільне лідерство (</w:t>
      </w:r>
      <w:r w:rsidRPr="00C25929">
        <w:rPr>
          <w:rFonts w:ascii="Times New Roman" w:eastAsia="TimesNewRomanPSMT" w:hAnsi="Times New Roman"/>
          <w:sz w:val="28"/>
          <w:szCs w:val="28"/>
          <w:lang w:val="en-US" w:eastAsia="ru-RU"/>
        </w:rPr>
        <w:t>collaborative</w:t>
      </w:r>
      <w:r w:rsidRPr="00C25929">
        <w:rPr>
          <w:rFonts w:ascii="Times New Roman" w:eastAsia="TimesNewRomanPSMT" w:hAnsi="Times New Roman"/>
          <w:sz w:val="28"/>
          <w:szCs w:val="28"/>
          <w:lang w:val="uk-UA" w:eastAsia="ru-RU"/>
        </w:rPr>
        <w:t xml:space="preserve"> </w:t>
      </w:r>
      <w:r w:rsidRPr="00C25929">
        <w:rPr>
          <w:rFonts w:ascii="Times New Roman" w:eastAsia="TimesNewRomanPSMT" w:hAnsi="Times New Roman"/>
          <w:sz w:val="28"/>
          <w:szCs w:val="28"/>
          <w:lang w:val="en-US" w:eastAsia="ru-RU"/>
        </w:rPr>
        <w:t>leadership</w:t>
      </w:r>
      <w:r w:rsidRPr="00C25929">
        <w:rPr>
          <w:rFonts w:ascii="Times New Roman" w:eastAsia="TimesNewRomanPSMT" w:hAnsi="Times New Roman"/>
          <w:sz w:val="28"/>
          <w:szCs w:val="28"/>
          <w:lang w:val="uk-UA" w:eastAsia="ru-RU"/>
        </w:rPr>
        <w:t>). У відповідності з рекомендаціями Організації економічного співробітництва і розвитку (ОЕСР) цей підхід передбачає «об’єднання промислової, освітньої і інноваційної політики в регіонах з метою визначення і вибору обмеженого числа пріоритетних проектів, заснованих на знаннях, для подальших інвестицій».</w:t>
      </w:r>
    </w:p>
    <w:p w:rsidR="00C25929" w:rsidRDefault="00B40711" w:rsidP="00C25929">
      <w:pPr>
        <w:autoSpaceDE w:val="0"/>
        <w:autoSpaceDN w:val="0"/>
        <w:adjustRightInd w:val="0"/>
        <w:spacing w:after="0" w:line="240" w:lineRule="auto"/>
        <w:ind w:firstLine="709"/>
        <w:jc w:val="both"/>
        <w:rPr>
          <w:rFonts w:ascii="Times New Roman" w:eastAsia="TimesNewRomanPSMT" w:hAnsi="Times New Roman"/>
          <w:sz w:val="28"/>
          <w:szCs w:val="28"/>
          <w:lang w:val="uk-UA" w:eastAsia="ru-RU"/>
        </w:rPr>
      </w:pPr>
      <w:r w:rsidRPr="00C25929">
        <w:rPr>
          <w:rFonts w:ascii="Times New Roman" w:eastAsia="TimesNewRomanPSMT" w:hAnsi="Times New Roman"/>
          <w:sz w:val="28"/>
          <w:szCs w:val="28"/>
          <w:lang w:val="uk-UA" w:eastAsia="ru-RU"/>
        </w:rPr>
        <w:t xml:space="preserve">Таким чином, регіональний </w:t>
      </w:r>
      <w:proofErr w:type="spellStart"/>
      <w:r w:rsidRPr="00C25929">
        <w:rPr>
          <w:rFonts w:ascii="Times New Roman" w:eastAsia="TimesNewRomanPSMT" w:hAnsi="Times New Roman"/>
          <w:sz w:val="28"/>
          <w:szCs w:val="28"/>
          <w:lang w:val="uk-UA" w:eastAsia="ru-RU"/>
        </w:rPr>
        <w:t>освітньо-науковий</w:t>
      </w:r>
      <w:proofErr w:type="spellEnd"/>
      <w:r w:rsidRPr="00C25929">
        <w:rPr>
          <w:rFonts w:ascii="Times New Roman" w:eastAsia="TimesNewRomanPSMT" w:hAnsi="Times New Roman"/>
          <w:sz w:val="28"/>
          <w:szCs w:val="28"/>
          <w:lang w:val="uk-UA" w:eastAsia="ru-RU"/>
        </w:rPr>
        <w:t xml:space="preserve"> кластер – сукупність взаємопов’язаних закладів загальної та професійної освіти, наукових закладів, підприємств регіону та їх взаємодії з метою досягнення синергетичного ефекту від об’єднання в єдину систему та досягнення цілей формування конкурентоспроможної ефективної системи підготовки кваліфікованих людських ресурсів для потреб регіональної економіки та її інноваційного розвитку.</w:t>
      </w:r>
    </w:p>
    <w:p w:rsidR="00B40711" w:rsidRPr="00C25929" w:rsidRDefault="00B40711" w:rsidP="00C25929">
      <w:pPr>
        <w:autoSpaceDE w:val="0"/>
        <w:autoSpaceDN w:val="0"/>
        <w:adjustRightInd w:val="0"/>
        <w:spacing w:after="0" w:line="240" w:lineRule="auto"/>
        <w:ind w:firstLine="709"/>
        <w:jc w:val="both"/>
        <w:rPr>
          <w:rFonts w:ascii="Times New Roman" w:eastAsia="TimesNewRomanPSMT" w:hAnsi="Times New Roman"/>
          <w:sz w:val="28"/>
          <w:szCs w:val="28"/>
          <w:lang w:val="uk-UA" w:eastAsia="ru-RU"/>
        </w:rPr>
      </w:pPr>
      <w:r w:rsidRPr="00C25929">
        <w:rPr>
          <w:rFonts w:ascii="Times New Roman" w:eastAsia="TimesNewRomanPSMT" w:hAnsi="Times New Roman"/>
          <w:sz w:val="28"/>
          <w:szCs w:val="28"/>
          <w:lang w:val="uk-UA" w:eastAsia="ru-RU"/>
        </w:rPr>
        <w:t xml:space="preserve">Виходячи з вищесказаного, нам здається, що ідея об’єднання кафедр маркетингу декількох областей у регіональні центри маркетингу є логічно обґрунтованою. Це дозволить створити кращі умови для навчання та розвитку маркетингу як науки в Україні. Концентрація декількох кафедр чи інститутів маркетингу в один єдиний центр – це краща матеріально-технічна база, найбільш кваліфіковані спеціалісти в своїй галузі, більша вірогідність співпраці з підприємствами та компаніями регіони – впровадження системи дуальної освіти. </w:t>
      </w:r>
    </w:p>
    <w:p w:rsidR="00C25929" w:rsidRDefault="00B40711" w:rsidP="00C25929">
      <w:pPr>
        <w:spacing w:after="0" w:line="240" w:lineRule="auto"/>
        <w:ind w:firstLine="709"/>
        <w:jc w:val="both"/>
        <w:rPr>
          <w:rFonts w:ascii="Times New Roman" w:hAnsi="Times New Roman"/>
          <w:sz w:val="28"/>
          <w:szCs w:val="28"/>
          <w:lang w:val="uk-UA"/>
        </w:rPr>
      </w:pPr>
      <w:r w:rsidRPr="00C25929">
        <w:rPr>
          <w:rFonts w:ascii="Times New Roman" w:hAnsi="Times New Roman"/>
          <w:sz w:val="28"/>
          <w:szCs w:val="28"/>
          <w:lang w:val="uk-UA"/>
        </w:rPr>
        <w:t xml:space="preserve">Основними критеріями об’єднання, на наш погляд, мають бути: географічне розміщення, загальна кількість університетів, у яких викладається спеціальність, та загальна кількість студентів. Виходячи з даних, що вказані у таблиці 2, пропонується таке розміщення регіональних центрів маркетингу (рис. </w:t>
      </w:r>
      <w:r w:rsidR="00C25929">
        <w:rPr>
          <w:rFonts w:ascii="Times New Roman" w:hAnsi="Times New Roman"/>
          <w:sz w:val="28"/>
          <w:szCs w:val="28"/>
          <w:lang w:val="uk-UA"/>
        </w:rPr>
        <w:t>3</w:t>
      </w:r>
      <w:r w:rsidRPr="00C25929">
        <w:rPr>
          <w:rFonts w:ascii="Times New Roman" w:hAnsi="Times New Roman"/>
          <w:sz w:val="28"/>
          <w:szCs w:val="28"/>
          <w:lang w:val="uk-UA"/>
        </w:rPr>
        <w:t>).</w:t>
      </w:r>
    </w:p>
    <w:p w:rsidR="002D4DAA" w:rsidRPr="00C25929" w:rsidRDefault="002D4DAA" w:rsidP="002D4DAA">
      <w:pPr>
        <w:spacing w:after="0" w:line="240" w:lineRule="auto"/>
        <w:ind w:firstLine="709"/>
        <w:jc w:val="both"/>
        <w:rPr>
          <w:rFonts w:ascii="Times New Roman" w:hAnsi="Times New Roman"/>
          <w:sz w:val="28"/>
          <w:szCs w:val="28"/>
          <w:lang w:val="uk-UA"/>
        </w:rPr>
      </w:pPr>
    </w:p>
    <w:p w:rsidR="00B40711" w:rsidRDefault="002D4DAA" w:rsidP="00B40711">
      <w:pPr>
        <w:spacing w:after="0" w:line="240" w:lineRule="auto"/>
        <w:jc w:val="both"/>
        <w:rPr>
          <w:rFonts w:ascii="Times New Roman" w:hAnsi="Times New Roman"/>
          <w:sz w:val="20"/>
          <w:szCs w:val="20"/>
          <w:lang w:val="uk-UA"/>
        </w:rPr>
      </w:pPr>
      <w:r>
        <w:rPr>
          <w:rFonts w:ascii="Times New Roman" w:hAnsi="Times New Roman"/>
          <w:noProof/>
          <w:sz w:val="24"/>
          <w:szCs w:val="24"/>
          <w:lang w:eastAsia="ru-RU"/>
        </w:rPr>
        <w:lastRenderedPageBreak/>
        <w:drawing>
          <wp:inline distT="0" distB="0" distL="0" distR="0">
            <wp:extent cx="5758165" cy="3545457"/>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lasti.gif"/>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9450" cy="3546248"/>
                    </a:xfrm>
                    <a:prstGeom prst="rect">
                      <a:avLst/>
                    </a:prstGeom>
                  </pic:spPr>
                </pic:pic>
              </a:graphicData>
            </a:graphic>
          </wp:inline>
        </w:drawing>
      </w:r>
    </w:p>
    <w:p w:rsidR="000F5544" w:rsidRPr="00EE10C5" w:rsidRDefault="00B40711" w:rsidP="002D4DAA">
      <w:pPr>
        <w:jc w:val="center"/>
        <w:rPr>
          <w:rFonts w:ascii="Times New Roman" w:hAnsi="Times New Roman"/>
          <w:sz w:val="28"/>
          <w:szCs w:val="28"/>
          <w:lang w:val="uk-UA"/>
        </w:rPr>
      </w:pPr>
      <w:r w:rsidRPr="00EE10C5">
        <w:rPr>
          <w:rFonts w:ascii="Times New Roman" w:hAnsi="Times New Roman"/>
          <w:sz w:val="28"/>
          <w:szCs w:val="28"/>
          <w:lang w:val="uk-UA"/>
        </w:rPr>
        <w:t>Рисунок 3 – Розміщення об’єднаних центрів маркетингу</w:t>
      </w:r>
    </w:p>
    <w:p w:rsidR="00C25929" w:rsidRPr="00C25929" w:rsidRDefault="00C25929" w:rsidP="00C25929">
      <w:pPr>
        <w:spacing w:after="0" w:line="240" w:lineRule="auto"/>
        <w:ind w:firstLine="709"/>
        <w:jc w:val="both"/>
        <w:rPr>
          <w:rFonts w:ascii="Times New Roman" w:hAnsi="Times New Roman"/>
          <w:sz w:val="28"/>
          <w:szCs w:val="28"/>
          <w:lang w:val="uk-UA"/>
        </w:rPr>
      </w:pPr>
      <w:r w:rsidRPr="00C25929">
        <w:rPr>
          <w:rFonts w:ascii="Times New Roman" w:hAnsi="Times New Roman"/>
          <w:sz w:val="28"/>
          <w:szCs w:val="28"/>
          <w:lang w:val="uk-UA"/>
        </w:rPr>
        <w:t>Питання щодо того, на базі якого вищого навчального закладу має бути створено регіональний центр з маркетингу слід вирішувати локально, шляхом проведення маркетингових досліджень конкурентоспроможності ВНЗ, найбільш вдалого географічного розміщення, вже існуючої матеріально-технічної бази, можливості проведення аудиторних занять при різкому збільшенні кількості студентів та ін.</w:t>
      </w:r>
    </w:p>
    <w:p w:rsidR="00C25929" w:rsidRPr="00C25929" w:rsidRDefault="00C25929" w:rsidP="00C25929">
      <w:pPr>
        <w:tabs>
          <w:tab w:val="left" w:pos="1152"/>
        </w:tabs>
        <w:spacing w:after="0" w:line="240" w:lineRule="auto"/>
        <w:ind w:firstLine="709"/>
        <w:jc w:val="both"/>
        <w:rPr>
          <w:rFonts w:ascii="Times New Roman" w:hAnsi="Times New Roman"/>
          <w:color w:val="000000"/>
          <w:sz w:val="28"/>
          <w:szCs w:val="28"/>
          <w:lang w:val="uk-UA"/>
        </w:rPr>
      </w:pPr>
      <w:r w:rsidRPr="00C25929">
        <w:rPr>
          <w:rFonts w:ascii="Times New Roman" w:hAnsi="Times New Roman"/>
          <w:color w:val="000000"/>
          <w:sz w:val="28"/>
          <w:szCs w:val="28"/>
          <w:lang w:val="uk-UA"/>
        </w:rPr>
        <w:t>На сучасному етапі розвитку економіки аналіз та оцінка конкурентоспроможності є невід'ємним елементом діяльності будь-якого господарюючого суб'єкта. На ринку освіти розгортається конкурентна боротьба між ВНЗ, що пропонують аналогічні освітні послуги. Конкуренція на ринку освітніх послуг являє собою суперництво між освітніми установами за залучення бажаних клієнтів (абітурієнтів, студентів) у свій ВНЗ. Конкурентна боротьба між ВНЗ</w:t>
      </w:r>
      <w:r w:rsidRPr="00C25929">
        <w:rPr>
          <w:rStyle w:val="apple-converted-space"/>
          <w:rFonts w:ascii="Times New Roman" w:hAnsi="Times New Roman"/>
          <w:color w:val="000000"/>
          <w:sz w:val="28"/>
          <w:szCs w:val="28"/>
          <w:lang w:val="uk-UA"/>
        </w:rPr>
        <w:t> </w:t>
      </w:r>
      <w:r w:rsidRPr="00C25929">
        <w:rPr>
          <w:rFonts w:ascii="Times New Roman" w:hAnsi="Times New Roman"/>
          <w:color w:val="000000"/>
          <w:sz w:val="28"/>
          <w:szCs w:val="28"/>
          <w:lang w:val="uk-UA"/>
        </w:rPr>
        <w:t>–</w:t>
      </w:r>
      <w:r w:rsidRPr="00C25929">
        <w:rPr>
          <w:rStyle w:val="apple-converted-space"/>
          <w:rFonts w:ascii="Times New Roman" w:hAnsi="Times New Roman"/>
          <w:color w:val="000000"/>
          <w:sz w:val="28"/>
          <w:szCs w:val="28"/>
          <w:lang w:val="uk-UA"/>
        </w:rPr>
        <w:t> </w:t>
      </w:r>
      <w:r w:rsidRPr="00C25929">
        <w:rPr>
          <w:rFonts w:ascii="Times New Roman" w:hAnsi="Times New Roman"/>
          <w:color w:val="000000"/>
          <w:sz w:val="28"/>
          <w:szCs w:val="28"/>
          <w:lang w:val="uk-UA"/>
        </w:rPr>
        <w:t>це сукупність дій, спрямованих на досягнення конкурентної переваги, на завоювання міцних позицій на ринку освітніх послуг.</w:t>
      </w:r>
    </w:p>
    <w:p w:rsidR="00C25929" w:rsidRPr="00C25929" w:rsidRDefault="00C25929" w:rsidP="00C25929">
      <w:pPr>
        <w:spacing w:after="0" w:line="240" w:lineRule="auto"/>
        <w:ind w:firstLine="709"/>
        <w:jc w:val="both"/>
        <w:rPr>
          <w:rFonts w:ascii="Times New Roman" w:hAnsi="Times New Roman"/>
          <w:sz w:val="28"/>
          <w:szCs w:val="28"/>
          <w:lang w:val="uk-UA"/>
        </w:rPr>
      </w:pPr>
      <w:r w:rsidRPr="00C25929">
        <w:rPr>
          <w:rFonts w:ascii="Times New Roman" w:hAnsi="Times New Roman"/>
          <w:sz w:val="28"/>
          <w:szCs w:val="28"/>
          <w:lang w:val="uk-UA"/>
        </w:rPr>
        <w:t>Для прикладу, проведемо дослідження конкурентоспроможності вищих навчальних закладів в Одеській області на прикладі спеціальності маркетинг. Використаємо для цього фактори, що мають найбільший вплив при виборі вузу:</w:t>
      </w:r>
    </w:p>
    <w:p w:rsidR="00C25929" w:rsidRPr="00C25929" w:rsidRDefault="00C25929" w:rsidP="00C25929">
      <w:pPr>
        <w:pStyle w:val="a6"/>
        <w:numPr>
          <w:ilvl w:val="0"/>
          <w:numId w:val="2"/>
        </w:numPr>
        <w:spacing w:after="0" w:line="240" w:lineRule="auto"/>
        <w:ind w:left="0" w:firstLine="709"/>
        <w:jc w:val="both"/>
        <w:rPr>
          <w:rFonts w:ascii="Times New Roman" w:hAnsi="Times New Roman"/>
          <w:sz w:val="28"/>
          <w:szCs w:val="28"/>
          <w:lang w:val="uk-UA"/>
        </w:rPr>
      </w:pPr>
      <w:r w:rsidRPr="00C25929">
        <w:rPr>
          <w:rFonts w:ascii="Times New Roman" w:hAnsi="Times New Roman"/>
          <w:sz w:val="28"/>
          <w:szCs w:val="28"/>
          <w:lang w:val="uk-UA"/>
        </w:rPr>
        <w:t>рейтинг ВНЗ;</w:t>
      </w:r>
    </w:p>
    <w:p w:rsidR="00C25929" w:rsidRPr="00C25929" w:rsidRDefault="00C25929" w:rsidP="00C25929">
      <w:pPr>
        <w:pStyle w:val="a6"/>
        <w:numPr>
          <w:ilvl w:val="0"/>
          <w:numId w:val="2"/>
        </w:numPr>
        <w:spacing w:after="0" w:line="240" w:lineRule="auto"/>
        <w:ind w:left="0" w:firstLine="709"/>
        <w:jc w:val="both"/>
        <w:rPr>
          <w:rFonts w:ascii="Times New Roman" w:hAnsi="Times New Roman"/>
          <w:sz w:val="28"/>
          <w:szCs w:val="28"/>
          <w:lang w:val="uk-UA"/>
        </w:rPr>
      </w:pPr>
      <w:r w:rsidRPr="00C25929">
        <w:rPr>
          <w:rFonts w:ascii="Times New Roman" w:hAnsi="Times New Roman"/>
          <w:sz w:val="28"/>
          <w:szCs w:val="28"/>
          <w:lang w:val="uk-UA"/>
        </w:rPr>
        <w:t>бюджетні місця;</w:t>
      </w:r>
    </w:p>
    <w:p w:rsidR="00C25929" w:rsidRPr="00C25929" w:rsidRDefault="00C25929" w:rsidP="00C25929">
      <w:pPr>
        <w:pStyle w:val="a6"/>
        <w:numPr>
          <w:ilvl w:val="0"/>
          <w:numId w:val="2"/>
        </w:numPr>
        <w:spacing w:after="0" w:line="240" w:lineRule="auto"/>
        <w:ind w:left="0" w:firstLine="709"/>
        <w:jc w:val="both"/>
        <w:rPr>
          <w:rFonts w:ascii="Times New Roman" w:hAnsi="Times New Roman"/>
          <w:sz w:val="28"/>
          <w:szCs w:val="28"/>
          <w:lang w:val="uk-UA"/>
        </w:rPr>
      </w:pPr>
      <w:r w:rsidRPr="00C25929">
        <w:rPr>
          <w:rFonts w:ascii="Times New Roman" w:hAnsi="Times New Roman"/>
          <w:sz w:val="28"/>
          <w:szCs w:val="28"/>
          <w:lang w:val="uk-UA"/>
        </w:rPr>
        <w:t>вартість навчання;</w:t>
      </w:r>
    </w:p>
    <w:p w:rsidR="00C25929" w:rsidRPr="00C25929" w:rsidRDefault="00C25929" w:rsidP="00C25929">
      <w:pPr>
        <w:pStyle w:val="a6"/>
        <w:numPr>
          <w:ilvl w:val="0"/>
          <w:numId w:val="2"/>
        </w:numPr>
        <w:spacing w:after="0" w:line="240" w:lineRule="auto"/>
        <w:ind w:left="0" w:firstLine="709"/>
        <w:jc w:val="both"/>
        <w:rPr>
          <w:rFonts w:ascii="Times New Roman" w:hAnsi="Times New Roman"/>
          <w:sz w:val="28"/>
          <w:szCs w:val="28"/>
          <w:lang w:val="uk-UA"/>
        </w:rPr>
      </w:pPr>
      <w:r w:rsidRPr="00C25929">
        <w:rPr>
          <w:rFonts w:ascii="Times New Roman" w:hAnsi="Times New Roman"/>
          <w:sz w:val="28"/>
          <w:szCs w:val="28"/>
          <w:lang w:val="uk-UA"/>
        </w:rPr>
        <w:t>гуртожиток;</w:t>
      </w:r>
    </w:p>
    <w:p w:rsidR="00C25929" w:rsidRPr="00C25929" w:rsidRDefault="00C25929" w:rsidP="00C25929">
      <w:pPr>
        <w:pStyle w:val="a6"/>
        <w:numPr>
          <w:ilvl w:val="0"/>
          <w:numId w:val="2"/>
        </w:numPr>
        <w:spacing w:after="0" w:line="240" w:lineRule="auto"/>
        <w:ind w:left="0" w:firstLine="709"/>
        <w:jc w:val="both"/>
        <w:rPr>
          <w:rFonts w:ascii="Times New Roman" w:hAnsi="Times New Roman"/>
          <w:sz w:val="28"/>
          <w:szCs w:val="28"/>
          <w:lang w:val="uk-UA"/>
        </w:rPr>
      </w:pPr>
      <w:r w:rsidRPr="00C25929">
        <w:rPr>
          <w:rFonts w:ascii="Times New Roman" w:hAnsi="Times New Roman"/>
          <w:sz w:val="28"/>
          <w:szCs w:val="28"/>
          <w:lang w:val="uk-UA"/>
        </w:rPr>
        <w:t>викладачі;</w:t>
      </w:r>
    </w:p>
    <w:p w:rsidR="00C25929" w:rsidRPr="00C25929" w:rsidRDefault="00C25929" w:rsidP="00C25929">
      <w:pPr>
        <w:pStyle w:val="a6"/>
        <w:numPr>
          <w:ilvl w:val="0"/>
          <w:numId w:val="2"/>
        </w:numPr>
        <w:spacing w:after="0" w:line="240" w:lineRule="auto"/>
        <w:ind w:left="0" w:firstLine="709"/>
        <w:jc w:val="both"/>
        <w:rPr>
          <w:rFonts w:ascii="Times New Roman" w:hAnsi="Times New Roman"/>
          <w:sz w:val="28"/>
          <w:szCs w:val="28"/>
          <w:lang w:val="uk-UA"/>
        </w:rPr>
      </w:pPr>
      <w:r w:rsidRPr="00C25929">
        <w:rPr>
          <w:rFonts w:ascii="Times New Roman" w:hAnsi="Times New Roman"/>
          <w:sz w:val="28"/>
          <w:szCs w:val="28"/>
          <w:lang w:val="uk-UA"/>
        </w:rPr>
        <w:t>соціальне життя.</w:t>
      </w:r>
    </w:p>
    <w:p w:rsidR="00C25929" w:rsidRPr="00C25929" w:rsidRDefault="00C25929" w:rsidP="00C25929">
      <w:pPr>
        <w:spacing w:after="0" w:line="240" w:lineRule="auto"/>
        <w:ind w:firstLine="709"/>
        <w:jc w:val="both"/>
        <w:rPr>
          <w:rFonts w:ascii="Times New Roman" w:hAnsi="Times New Roman"/>
          <w:sz w:val="28"/>
          <w:szCs w:val="28"/>
          <w:lang w:val="uk-UA"/>
        </w:rPr>
      </w:pPr>
      <w:r w:rsidRPr="00C25929">
        <w:rPr>
          <w:rFonts w:ascii="Times New Roman" w:hAnsi="Times New Roman"/>
          <w:sz w:val="28"/>
          <w:szCs w:val="28"/>
          <w:lang w:val="uk-UA"/>
        </w:rPr>
        <w:lastRenderedPageBreak/>
        <w:t>На основі даних факторів складемо багатокутник конкурентоспроможності для спеціальності маркетинг (рис. 4).</w:t>
      </w:r>
    </w:p>
    <w:p w:rsidR="002D4DAA" w:rsidRPr="007D0D4D" w:rsidRDefault="002D4DAA" w:rsidP="002D4DAA">
      <w:pPr>
        <w:jc w:val="center"/>
        <w:rPr>
          <w:rFonts w:ascii="Times New Roman" w:hAnsi="Times New Roman"/>
          <w:sz w:val="28"/>
          <w:szCs w:val="28"/>
          <w:lang w:val="uk-UA"/>
        </w:rPr>
      </w:pPr>
    </w:p>
    <w:p w:rsidR="002D4DAA" w:rsidRDefault="002D4DAA" w:rsidP="002D4DAA">
      <w:pPr>
        <w:jc w:val="center"/>
        <w:rPr>
          <w:rFonts w:ascii="Times New Roman" w:hAnsi="Times New Roman"/>
          <w:sz w:val="20"/>
          <w:szCs w:val="20"/>
          <w:lang w:val="uk-UA"/>
        </w:rPr>
      </w:pPr>
      <w:r>
        <w:rPr>
          <w:rFonts w:ascii="Times New Roman" w:hAnsi="Times New Roman"/>
          <w:noProof/>
          <w:sz w:val="28"/>
          <w:szCs w:val="28"/>
          <w:lang w:eastAsia="ru-RU"/>
        </w:rPr>
        <w:drawing>
          <wp:inline distT="0" distB="0" distL="0" distR="0">
            <wp:extent cx="5762445" cy="4572000"/>
            <wp:effectExtent l="0" t="0" r="0" b="0"/>
            <wp:docPr id="1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4DAA" w:rsidRPr="00EE10C5" w:rsidRDefault="002D4DAA" w:rsidP="002D4DAA">
      <w:pPr>
        <w:spacing w:after="0" w:line="240" w:lineRule="auto"/>
        <w:ind w:firstLine="709"/>
        <w:jc w:val="center"/>
        <w:rPr>
          <w:rFonts w:ascii="Times New Roman" w:hAnsi="Times New Roman"/>
          <w:sz w:val="28"/>
          <w:szCs w:val="28"/>
          <w:lang w:val="uk-UA"/>
        </w:rPr>
      </w:pPr>
      <w:r w:rsidRPr="00EE10C5">
        <w:rPr>
          <w:rFonts w:ascii="Times New Roman" w:hAnsi="Times New Roman"/>
          <w:sz w:val="28"/>
          <w:szCs w:val="28"/>
          <w:lang w:val="uk-UA"/>
        </w:rPr>
        <w:t>Рисунок 4 -  Багатокутник конкурентоспроможності для спеціальності маркетинг серед деяких ВНЗ в Одеській області</w:t>
      </w:r>
    </w:p>
    <w:p w:rsidR="00EE10C5" w:rsidRPr="00EE10C5" w:rsidRDefault="00EE10C5" w:rsidP="002D4DAA">
      <w:pPr>
        <w:spacing w:after="0" w:line="240" w:lineRule="auto"/>
        <w:jc w:val="both"/>
        <w:rPr>
          <w:rFonts w:ascii="Times New Roman" w:hAnsi="Times New Roman" w:cs="Times New Roman"/>
          <w:sz w:val="28"/>
          <w:szCs w:val="28"/>
          <w:lang w:val="uk-UA"/>
        </w:rPr>
      </w:pPr>
    </w:p>
    <w:p w:rsidR="002D4DAA" w:rsidRPr="00EE10C5" w:rsidRDefault="002D4DAA" w:rsidP="00EE10C5">
      <w:pPr>
        <w:spacing w:after="0" w:line="240" w:lineRule="auto"/>
        <w:ind w:firstLine="709"/>
        <w:jc w:val="both"/>
        <w:rPr>
          <w:rFonts w:ascii="Times New Roman" w:hAnsi="Times New Roman" w:cs="Times New Roman"/>
          <w:sz w:val="28"/>
          <w:szCs w:val="28"/>
          <w:lang w:val="uk-UA"/>
        </w:rPr>
      </w:pPr>
      <w:r w:rsidRPr="00EE10C5">
        <w:rPr>
          <w:rFonts w:ascii="Times New Roman" w:hAnsi="Times New Roman" w:cs="Times New Roman"/>
          <w:sz w:val="28"/>
          <w:szCs w:val="28"/>
          <w:lang w:val="uk-UA"/>
        </w:rPr>
        <w:t>Зробимо необхідні розрахунки за формулами площі багатокутника та відношення площі багатокутника окремого ВНЗ до загальної площі.</w:t>
      </w:r>
    </w:p>
    <w:p w:rsidR="002D4DAA" w:rsidRPr="00EE10C5" w:rsidRDefault="002D4DAA" w:rsidP="00EE10C5">
      <w:pPr>
        <w:spacing w:after="0" w:line="240" w:lineRule="auto"/>
        <w:ind w:firstLine="709"/>
        <w:jc w:val="both"/>
        <w:rPr>
          <w:rFonts w:ascii="Times New Roman" w:eastAsia="Times New Roman" w:hAnsi="Times New Roman" w:cs="Times New Roman"/>
          <w:sz w:val="28"/>
          <w:szCs w:val="28"/>
          <w:lang w:val="uk-UA"/>
        </w:rPr>
      </w:pPr>
      <m:oMathPara>
        <m:oMathParaPr>
          <m:jc m:val="center"/>
        </m:oMathParaPr>
        <m:oMath>
          <m:r>
            <w:rPr>
              <w:rFonts w:ascii="Cambria Math" w:hAnsi="Cambria Math" w:cs="Times New Roman"/>
              <w:sz w:val="28"/>
              <w:szCs w:val="28"/>
              <w:lang w:val="uk-UA"/>
            </w:rPr>
            <m:t>S</m:t>
          </m:r>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func>
                <m:funcPr>
                  <m:ctrlPr>
                    <w:rPr>
                      <w:rFonts w:ascii="Cambria Math" w:hAnsi="Times New Roman" w:cs="Times New Roman"/>
                      <w:i/>
                      <w:sz w:val="28"/>
                      <w:szCs w:val="28"/>
                      <w:lang w:val="uk-UA"/>
                    </w:rPr>
                  </m:ctrlPr>
                </m:funcPr>
                <m:fName>
                  <m:r>
                    <m:rPr>
                      <m:sty m:val="p"/>
                    </m:rPr>
                    <w:rPr>
                      <w:rFonts w:ascii="Cambria Math" w:hAnsi="Times New Roman" w:cs="Times New Roman"/>
                      <w:sz w:val="28"/>
                      <w:szCs w:val="28"/>
                      <w:lang w:val="uk-UA"/>
                    </w:rPr>
                    <m:t>sin</m:t>
                  </m:r>
                </m:fName>
                <m:e>
                  <m:r>
                    <w:rPr>
                      <w:rFonts w:ascii="Cambria Math" w:hAnsi="Times New Roman" w:cs="Times New Roman"/>
                      <w:sz w:val="28"/>
                      <w:szCs w:val="28"/>
                      <w:lang w:val="uk-UA"/>
                    </w:rPr>
                    <m:t>60</m:t>
                  </m:r>
                </m:e>
              </m:func>
            </m:num>
            <m:den>
              <m:r>
                <w:rPr>
                  <w:rFonts w:ascii="Cambria Math" w:hAnsi="Times New Roman" w:cs="Times New Roman"/>
                  <w:sz w:val="28"/>
                  <w:szCs w:val="28"/>
                  <w:lang w:val="uk-UA"/>
                </w:rPr>
                <m:t>2</m:t>
              </m:r>
            </m:den>
          </m:f>
          <m:r>
            <w:rPr>
              <w:rFonts w:ascii="Times New Roman" w:hAnsi="Cambria Math" w:cs="Times New Roman"/>
              <w:sz w:val="28"/>
              <w:szCs w:val="28"/>
              <w:lang w:val="uk-UA"/>
            </w:rPr>
            <m:t>*</m:t>
          </m:r>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m</m:t>
              </m:r>
            </m:e>
            <m:sub>
              <m:r>
                <w:rPr>
                  <w:rFonts w:ascii="Cambria Math" w:hAnsi="Times New Roman" w:cs="Times New Roman"/>
                  <w:sz w:val="28"/>
                  <w:szCs w:val="28"/>
                  <w:lang w:val="uk-UA"/>
                </w:rPr>
                <m:t>1</m:t>
              </m:r>
            </m:sub>
          </m:sSub>
          <m:r>
            <w:rPr>
              <w:rFonts w:ascii="Times New Roman" w:hAnsi="Cambria Math"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m</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m</m:t>
              </m:r>
            </m:e>
            <m:sub>
              <m:r>
                <w:rPr>
                  <w:rFonts w:ascii="Cambria Math" w:hAnsi="Times New Roman" w:cs="Times New Roman"/>
                  <w:sz w:val="28"/>
                  <w:szCs w:val="28"/>
                  <w:lang w:val="uk-UA"/>
                </w:rPr>
                <m:t>2</m:t>
              </m:r>
            </m:sub>
          </m:sSub>
          <m:r>
            <w:rPr>
              <w:rFonts w:ascii="Times New Roman" w:hAnsi="Cambria Math"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m</m:t>
              </m:r>
            </m:e>
            <m:sub>
              <m:r>
                <w:rPr>
                  <w:rFonts w:ascii="Cambria Math" w:hAnsi="Times New Roman" w:cs="Times New Roman"/>
                  <w:sz w:val="28"/>
                  <w:szCs w:val="28"/>
                  <w:lang w:val="uk-UA"/>
                </w:rPr>
                <m:t>3</m:t>
              </m:r>
            </m:sub>
          </m:sSub>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m</m:t>
              </m:r>
            </m:e>
            <m:sub>
              <m:r>
                <w:rPr>
                  <w:rFonts w:ascii="Cambria Math" w:hAnsi="Times New Roman" w:cs="Times New Roman"/>
                  <w:sz w:val="28"/>
                  <w:szCs w:val="28"/>
                  <w:lang w:val="uk-UA"/>
                </w:rPr>
                <m:t>3</m:t>
              </m:r>
            </m:sub>
          </m:sSub>
          <m:r>
            <w:rPr>
              <w:rFonts w:ascii="Times New Roman" w:hAnsi="Cambria Math"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m</m:t>
              </m:r>
            </m:e>
            <m:sub>
              <m:r>
                <w:rPr>
                  <w:rFonts w:ascii="Cambria Math" w:hAnsi="Times New Roman" w:cs="Times New Roman"/>
                  <w:sz w:val="28"/>
                  <w:szCs w:val="28"/>
                  <w:lang w:val="uk-UA"/>
                </w:rPr>
                <m:t>4</m:t>
              </m:r>
            </m:sub>
          </m:sSub>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m</m:t>
              </m:r>
            </m:e>
            <m:sub>
              <m:r>
                <w:rPr>
                  <w:rFonts w:ascii="Cambria Math" w:hAnsi="Times New Roman" w:cs="Times New Roman"/>
                  <w:sz w:val="28"/>
                  <w:szCs w:val="28"/>
                  <w:lang w:val="uk-UA"/>
                </w:rPr>
                <m:t>4</m:t>
              </m:r>
            </m:sub>
          </m:sSub>
          <m:r>
            <w:rPr>
              <w:rFonts w:ascii="Times New Roman" w:hAnsi="Cambria Math"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m</m:t>
              </m:r>
            </m:e>
            <m:sub>
              <m:r>
                <w:rPr>
                  <w:rFonts w:ascii="Cambria Math" w:hAnsi="Times New Roman" w:cs="Times New Roman"/>
                  <w:sz w:val="28"/>
                  <w:szCs w:val="28"/>
                  <w:lang w:val="uk-UA"/>
                </w:rPr>
                <m:t>5</m:t>
              </m:r>
            </m:sub>
          </m:sSub>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m</m:t>
              </m:r>
            </m:e>
            <m:sub>
              <m:r>
                <w:rPr>
                  <w:rFonts w:ascii="Cambria Math" w:hAnsi="Times New Roman" w:cs="Times New Roman"/>
                  <w:sz w:val="28"/>
                  <w:szCs w:val="28"/>
                  <w:lang w:val="uk-UA"/>
                </w:rPr>
                <m:t>5</m:t>
              </m:r>
            </m:sub>
          </m:sSub>
          <m:r>
            <w:rPr>
              <w:rFonts w:ascii="Times New Roman" w:hAnsi="Cambria Math"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m</m:t>
              </m:r>
            </m:e>
            <m:sub>
              <m:r>
                <w:rPr>
                  <w:rFonts w:ascii="Cambria Math" w:hAnsi="Times New Roman" w:cs="Times New Roman"/>
                  <w:sz w:val="28"/>
                  <w:szCs w:val="28"/>
                  <w:lang w:val="uk-UA"/>
                </w:rPr>
                <m:t>6</m:t>
              </m:r>
            </m:sub>
          </m:sSub>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m</m:t>
              </m:r>
            </m:e>
            <m:sub>
              <m:r>
                <w:rPr>
                  <w:rFonts w:ascii="Cambria Math" w:hAnsi="Times New Roman" w:cs="Times New Roman"/>
                  <w:sz w:val="28"/>
                  <w:szCs w:val="28"/>
                  <w:lang w:val="uk-UA"/>
                </w:rPr>
                <m:t>6</m:t>
              </m:r>
            </m:sub>
          </m:sSub>
          <m:r>
            <w:rPr>
              <w:rFonts w:ascii="Times New Roman" w:hAnsi="Cambria Math"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m</m:t>
              </m:r>
            </m:e>
            <m:sub>
              <m:r>
                <w:rPr>
                  <w:rFonts w:ascii="Cambria Math" w:hAnsi="Times New Roman" w:cs="Times New Roman"/>
                  <w:sz w:val="28"/>
                  <w:szCs w:val="28"/>
                  <w:lang w:val="uk-UA"/>
                </w:rPr>
                <m:t>1</m:t>
              </m:r>
            </m:sub>
          </m:sSub>
          <m:r>
            <w:rPr>
              <w:rFonts w:ascii="Cambria Math" w:eastAsia="Times New Roman" w:hAnsi="Times New Roman" w:cs="Times New Roman"/>
              <w:sz w:val="28"/>
              <w:szCs w:val="28"/>
              <w:lang w:val="uk-UA"/>
            </w:rPr>
            <m:t>)</m:t>
          </m:r>
        </m:oMath>
      </m:oMathPara>
    </w:p>
    <w:p w:rsidR="002D4DAA" w:rsidRPr="00EE10C5" w:rsidRDefault="002D4DAA" w:rsidP="00EE10C5">
      <w:pPr>
        <w:spacing w:after="0" w:line="240" w:lineRule="auto"/>
        <w:ind w:firstLine="709"/>
        <w:jc w:val="both"/>
        <w:rPr>
          <w:rFonts w:ascii="Times New Roman" w:hAnsi="Times New Roman" w:cs="Times New Roman"/>
          <w:sz w:val="28"/>
          <w:szCs w:val="28"/>
          <w:lang w:val="uk-UA"/>
        </w:rPr>
      </w:pPr>
      <w:r w:rsidRPr="00EE10C5">
        <w:rPr>
          <w:rFonts w:ascii="Times New Roman" w:hAnsi="Times New Roman" w:cs="Times New Roman"/>
          <w:sz w:val="28"/>
          <w:szCs w:val="28"/>
          <w:lang w:val="uk-UA"/>
        </w:rPr>
        <w:t xml:space="preserve">де </w:t>
      </w:r>
      <m:oMath>
        <m:r>
          <w:rPr>
            <w:rFonts w:ascii="Cambria Math" w:hAnsi="Cambria Math" w:cs="Times New Roman"/>
            <w:sz w:val="28"/>
            <w:szCs w:val="28"/>
            <w:lang w:val="uk-UA"/>
          </w:rPr>
          <m:t>S</m:t>
        </m:r>
      </m:oMath>
      <w:r w:rsidRPr="00EE10C5">
        <w:rPr>
          <w:rFonts w:ascii="Times New Roman" w:hAnsi="Times New Roman" w:cs="Times New Roman"/>
          <w:sz w:val="28"/>
          <w:szCs w:val="28"/>
          <w:lang w:val="uk-UA"/>
        </w:rPr>
        <w:t xml:space="preserve"> - площа шестикутника,</w:t>
      </w:r>
    </w:p>
    <w:p w:rsidR="002D4DAA" w:rsidRPr="00EE10C5" w:rsidRDefault="00D6656A" w:rsidP="00EE10C5">
      <w:pPr>
        <w:spacing w:after="0" w:line="240" w:lineRule="auto"/>
        <w:ind w:firstLine="709"/>
        <w:jc w:val="both"/>
        <w:rPr>
          <w:rFonts w:ascii="Times New Roman" w:hAnsi="Times New Roman" w:cs="Times New Roman"/>
          <w:sz w:val="28"/>
          <w:szCs w:val="28"/>
          <w:lang w:val="uk-UA"/>
        </w:rPr>
      </w:pP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m</m:t>
            </m:r>
          </m:e>
          <m:sub>
            <m:r>
              <w:rPr>
                <w:rFonts w:ascii="Cambria Math" w:hAnsi="Times New Roman" w:cs="Times New Roman"/>
                <w:sz w:val="28"/>
                <w:szCs w:val="28"/>
                <w:lang w:val="uk-UA"/>
              </w:rPr>
              <m:t>1</m:t>
            </m:r>
          </m:sub>
        </m:sSub>
      </m:oMath>
      <w:r w:rsidR="002D4DAA" w:rsidRPr="00EE10C5">
        <w:rPr>
          <w:rFonts w:ascii="Times New Roman" w:hAnsi="Times New Roman" w:cs="Times New Roman"/>
          <w:sz w:val="28"/>
          <w:szCs w:val="28"/>
          <w:lang w:val="uk-UA"/>
        </w:rPr>
        <w:t xml:space="preserve"> - максимальна оцінка кожного показника якості.</w:t>
      </w:r>
    </w:p>
    <w:p w:rsidR="002D4DAA" w:rsidRPr="00EE10C5" w:rsidRDefault="00D6656A" w:rsidP="00EE10C5">
      <w:pPr>
        <w:spacing w:after="0" w:line="240" w:lineRule="auto"/>
        <w:ind w:firstLine="709"/>
        <w:jc w:val="both"/>
        <w:rPr>
          <w:rFonts w:ascii="Times New Roman" w:eastAsia="Times New Roman" w:hAnsi="Times New Roman" w:cs="Times New Roman"/>
          <w:sz w:val="28"/>
          <w:szCs w:val="28"/>
          <w:lang w:val="uk-UA"/>
        </w:rPr>
      </w:pPr>
      <m:oMathPara>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I</m:t>
              </m:r>
            </m:e>
            <m:sub>
              <m:r>
                <w:rPr>
                  <w:rFonts w:ascii="Cambria Math" w:hAnsi="Cambria Math" w:cs="Times New Roman"/>
                  <w:sz w:val="28"/>
                  <w:szCs w:val="28"/>
                  <w:lang w:val="uk-UA"/>
                </w:rPr>
                <m:t>k</m:t>
              </m:r>
            </m:sub>
          </m:sSub>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S</m:t>
                  </m:r>
                </m:e>
                <m:sub>
                  <m:r>
                    <w:rPr>
                      <w:rFonts w:ascii="Cambria Math" w:hAnsi="Cambria Math" w:cs="Times New Roman"/>
                      <w:sz w:val="28"/>
                      <w:szCs w:val="28"/>
                      <w:lang w:val="uk-UA"/>
                    </w:rPr>
                    <m:t>n</m:t>
                  </m:r>
                </m:sub>
              </m:sSub>
            </m:num>
            <m:den>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S</m:t>
                  </m:r>
                </m:e>
                <m:sub>
                  <m:r>
                    <w:rPr>
                      <w:rFonts w:ascii="Cambria Math" w:hAnsi="Times New Roman" w:cs="Times New Roman"/>
                      <w:sz w:val="28"/>
                      <w:szCs w:val="28"/>
                      <w:lang w:val="uk-UA"/>
                    </w:rPr>
                    <m:t>заг</m:t>
                  </m:r>
                </m:sub>
              </m:sSub>
            </m:den>
          </m:f>
        </m:oMath>
      </m:oMathPara>
    </w:p>
    <w:p w:rsidR="002D4DAA" w:rsidRPr="00EE10C5" w:rsidRDefault="002D4DAA" w:rsidP="00EE10C5">
      <w:pPr>
        <w:spacing w:after="0" w:line="240" w:lineRule="auto"/>
        <w:ind w:firstLine="709"/>
        <w:jc w:val="both"/>
        <w:rPr>
          <w:rFonts w:ascii="Times New Roman" w:hAnsi="Times New Roman" w:cs="Times New Roman"/>
          <w:sz w:val="28"/>
          <w:szCs w:val="28"/>
          <w:lang w:val="uk-UA"/>
        </w:rPr>
      </w:pPr>
      <w:r w:rsidRPr="00EE10C5">
        <w:rPr>
          <w:rFonts w:ascii="Times New Roman" w:hAnsi="Times New Roman" w:cs="Times New Roman"/>
          <w:sz w:val="28"/>
          <w:szCs w:val="28"/>
          <w:lang w:val="uk-UA"/>
        </w:rPr>
        <w:t xml:space="preserve">де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I</m:t>
            </m:r>
          </m:e>
          <m:sub>
            <m:r>
              <w:rPr>
                <w:rFonts w:ascii="Cambria Math" w:hAnsi="Cambria Math" w:cs="Times New Roman"/>
                <w:sz w:val="28"/>
                <w:szCs w:val="28"/>
                <w:lang w:val="uk-UA"/>
              </w:rPr>
              <m:t>k</m:t>
            </m:r>
          </m:sub>
        </m:sSub>
      </m:oMath>
      <w:r w:rsidRPr="00EE10C5">
        <w:rPr>
          <w:rFonts w:ascii="Times New Roman" w:hAnsi="Times New Roman" w:cs="Times New Roman"/>
          <w:sz w:val="28"/>
          <w:szCs w:val="28"/>
        </w:rPr>
        <w:t xml:space="preserve"> –</w:t>
      </w:r>
      <w:r w:rsidRPr="00EE10C5">
        <w:rPr>
          <w:rFonts w:ascii="Times New Roman" w:hAnsi="Times New Roman" w:cs="Times New Roman"/>
          <w:sz w:val="28"/>
          <w:szCs w:val="28"/>
          <w:lang w:val="uk-UA"/>
        </w:rPr>
        <w:t>індекс конкурентоспроможності.</w:t>
      </w:r>
    </w:p>
    <w:p w:rsidR="002D4DAA" w:rsidRPr="00EE10C5" w:rsidRDefault="00D6656A" w:rsidP="00EE10C5">
      <w:pPr>
        <w:spacing w:after="0" w:line="240" w:lineRule="auto"/>
        <w:ind w:firstLine="709"/>
        <w:jc w:val="both"/>
        <w:rPr>
          <w:rFonts w:ascii="Times New Roman" w:eastAsia="Times New Roman" w:hAnsi="Times New Roman" w:cs="Times New Roman"/>
          <w:sz w:val="28"/>
          <w:szCs w:val="28"/>
          <w:lang w:val="uk-UA"/>
        </w:rPr>
      </w:pPr>
      <m:oMathPara>
        <m:oMathParaPr>
          <m:jc m:val="center"/>
        </m:oMathParaPr>
        <m:oMath>
          <m:sSub>
            <m:sSubPr>
              <m:ctrlPr>
                <w:rPr>
                  <w:rFonts w:ascii="Cambria Math" w:hAnsi="Times New Roman" w:cs="Times New Roman"/>
                  <w:sz w:val="28"/>
                  <w:szCs w:val="28"/>
                  <w:lang w:val="uk-UA"/>
                </w:rPr>
              </m:ctrlPr>
            </m:sSubPr>
            <m:e>
              <m:r>
                <m:rPr>
                  <m:sty m:val="p"/>
                </m:rPr>
                <w:rPr>
                  <w:rFonts w:ascii="Cambria Math" w:hAnsi="Times New Roman" w:cs="Times New Roman"/>
                  <w:sz w:val="28"/>
                  <w:szCs w:val="28"/>
                  <w:lang w:val="en-US"/>
                </w:rPr>
                <m:t>S</m:t>
              </m:r>
            </m:e>
            <m:sub>
              <m:r>
                <m:rPr>
                  <m:sty m:val="p"/>
                </m:rPr>
                <w:rPr>
                  <w:rFonts w:ascii="Cambria Math" w:hAnsi="Times New Roman" w:cs="Times New Roman"/>
                  <w:sz w:val="28"/>
                  <w:szCs w:val="28"/>
                  <w:lang w:val="uk-UA"/>
                </w:rPr>
                <m:t>заг</m:t>
              </m:r>
            </m:sub>
          </m:sSub>
          <m:r>
            <m:rPr>
              <m:sty m:val="p"/>
            </m:rPr>
            <w:rPr>
              <w:rFonts w:ascii="Cambria Math" w:hAnsi="Times New Roman" w:cs="Times New Roman"/>
              <w:sz w:val="28"/>
              <w:szCs w:val="28"/>
              <w:lang w:val="uk-UA"/>
            </w:rPr>
            <m:t>=</m:t>
          </m:r>
          <m:f>
            <m:fPr>
              <m:ctrlPr>
                <w:rPr>
                  <w:rFonts w:ascii="Cambria Math" w:hAnsi="Times New Roman" w:cs="Times New Roman"/>
                  <w:sz w:val="28"/>
                  <w:szCs w:val="28"/>
                  <w:lang w:val="uk-UA"/>
                </w:rPr>
              </m:ctrlPr>
            </m:fPr>
            <m:num>
              <m:rad>
                <m:radPr>
                  <m:degHide m:val="on"/>
                  <m:ctrlPr>
                    <w:rPr>
                      <w:rFonts w:ascii="Cambria Math" w:hAnsi="Times New Roman" w:cs="Times New Roman"/>
                      <w:sz w:val="28"/>
                      <w:szCs w:val="28"/>
                      <w:lang w:val="uk-UA"/>
                    </w:rPr>
                  </m:ctrlPr>
                </m:radPr>
                <m:deg/>
                <m:e>
                  <m:r>
                    <m:rPr>
                      <m:sty m:val="p"/>
                    </m:rPr>
                    <w:rPr>
                      <w:rFonts w:ascii="Cambria Math" w:hAnsi="Times New Roman" w:cs="Times New Roman"/>
                      <w:sz w:val="28"/>
                      <w:szCs w:val="28"/>
                      <w:lang w:val="uk-UA"/>
                    </w:rPr>
                    <m:t>3</m:t>
                  </m:r>
                </m:e>
              </m:rad>
            </m:num>
            <m:den>
              <m:r>
                <m:rPr>
                  <m:sty m:val="p"/>
                </m:rPr>
                <w:rPr>
                  <w:rFonts w:ascii="Cambria Math" w:hAnsi="Times New Roman" w:cs="Times New Roman"/>
                  <w:sz w:val="28"/>
                  <w:szCs w:val="28"/>
                  <w:lang w:val="uk-UA"/>
                </w:rPr>
                <m:t>4</m:t>
              </m:r>
            </m:den>
          </m:f>
          <m:r>
            <m:rPr>
              <m:sty m:val="p"/>
            </m:rPr>
            <w:rPr>
              <w:rFonts w:ascii="Times New Roman" w:hAnsi="Cambria Math" w:cs="Times New Roman"/>
              <w:sz w:val="28"/>
              <w:szCs w:val="28"/>
              <w:lang w:val="uk-UA"/>
            </w:rPr>
            <m:t>*</m:t>
          </m:r>
          <m:d>
            <m:dPr>
              <m:ctrlPr>
                <w:rPr>
                  <w:rFonts w:ascii="Cambria Math" w:hAnsi="Times New Roman" w:cs="Times New Roman"/>
                  <w:sz w:val="28"/>
                  <w:szCs w:val="28"/>
                  <w:lang w:val="uk-UA"/>
                </w:rPr>
              </m:ctrlPr>
            </m:dPr>
            <m:e>
              <m:r>
                <m:rPr>
                  <m:sty m:val="p"/>
                </m:rPr>
                <w:rPr>
                  <w:rFonts w:ascii="Cambria Math" w:hAnsi="Times New Roman" w:cs="Times New Roman"/>
                  <w:sz w:val="28"/>
                  <w:szCs w:val="28"/>
                  <w:lang w:val="uk-UA"/>
                </w:rPr>
                <m:t>10</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9+9</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9+9</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8+8</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10+10</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10+10</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10</m:t>
              </m:r>
            </m:e>
          </m:d>
          <m:r>
            <m:rPr>
              <m:sty m:val="p"/>
            </m:rPr>
            <w:rPr>
              <w:rFonts w:ascii="Cambria Math" w:hAnsi="Times New Roman" w:cs="Times New Roman"/>
              <w:sz w:val="28"/>
              <w:szCs w:val="28"/>
              <w:lang w:val="uk-UA"/>
            </w:rPr>
            <m:t>=</m:t>
          </m:r>
          <m:f>
            <m:fPr>
              <m:ctrlPr>
                <w:rPr>
                  <w:rFonts w:ascii="Cambria Math" w:hAnsi="Times New Roman" w:cs="Times New Roman"/>
                  <w:sz w:val="28"/>
                  <w:szCs w:val="28"/>
                  <w:lang w:val="uk-UA"/>
                </w:rPr>
              </m:ctrlPr>
            </m:fPr>
            <m:num>
              <m:rad>
                <m:radPr>
                  <m:degHide m:val="on"/>
                  <m:ctrlPr>
                    <w:rPr>
                      <w:rFonts w:ascii="Cambria Math" w:hAnsi="Times New Roman" w:cs="Times New Roman"/>
                      <w:sz w:val="28"/>
                      <w:szCs w:val="28"/>
                      <w:lang w:val="uk-UA"/>
                    </w:rPr>
                  </m:ctrlPr>
                </m:radPr>
                <m:deg/>
                <m:e>
                  <m:r>
                    <m:rPr>
                      <m:sty m:val="p"/>
                    </m:rPr>
                    <w:rPr>
                      <w:rFonts w:ascii="Cambria Math" w:hAnsi="Times New Roman" w:cs="Times New Roman"/>
                      <w:sz w:val="28"/>
                      <w:szCs w:val="28"/>
                      <w:lang w:val="uk-UA"/>
                    </w:rPr>
                    <m:t>3</m:t>
                  </m:r>
                </m:e>
              </m:rad>
            </m:num>
            <m:den>
              <m:r>
                <m:rPr>
                  <m:sty m:val="p"/>
                </m:rPr>
                <w:rPr>
                  <w:rFonts w:ascii="Cambria Math" w:hAnsi="Times New Roman" w:cs="Times New Roman"/>
                  <w:sz w:val="28"/>
                  <w:szCs w:val="28"/>
                  <w:lang w:val="uk-UA"/>
                </w:rPr>
                <m:t>4</m:t>
              </m:r>
            </m:den>
          </m:f>
          <m:r>
            <m:rPr>
              <m:sty m:val="p"/>
            </m:rPr>
            <w:rPr>
              <w:rFonts w:ascii="Times New Roman" w:hAnsi="Cambria Math" w:cs="Times New Roman"/>
              <w:sz w:val="28"/>
              <w:szCs w:val="28"/>
              <w:lang w:val="uk-UA"/>
            </w:rPr>
            <m:t>*</m:t>
          </m:r>
          <m:r>
            <m:rPr>
              <m:sty m:val="p"/>
            </m:rPr>
            <w:rPr>
              <w:rFonts w:ascii="Cambria Math" w:hAnsi="Times New Roman" w:cs="Times New Roman"/>
              <w:sz w:val="28"/>
              <w:szCs w:val="28"/>
              <w:lang w:val="uk-UA"/>
            </w:rPr>
            <m:t>523=224,89</m:t>
          </m:r>
        </m:oMath>
      </m:oMathPara>
    </w:p>
    <w:p w:rsidR="002D4DAA" w:rsidRPr="00EE10C5" w:rsidRDefault="00D6656A" w:rsidP="00EE10C5">
      <w:pPr>
        <w:spacing w:after="0" w:line="240" w:lineRule="auto"/>
        <w:ind w:firstLine="709"/>
        <w:jc w:val="both"/>
        <w:rPr>
          <w:rFonts w:ascii="Times New Roman" w:eastAsia="Times New Roman" w:hAnsi="Times New Roman" w:cs="Times New Roman"/>
          <w:sz w:val="28"/>
          <w:szCs w:val="28"/>
          <w:lang w:val="uk-UA"/>
        </w:rPr>
      </w:pPr>
      <m:oMathPara>
        <m:oMath>
          <m:sSub>
            <m:sSubPr>
              <m:ctrlPr>
                <w:rPr>
                  <w:rFonts w:ascii="Cambria Math" w:hAnsi="Times New Roman" w:cs="Times New Roman"/>
                  <w:sz w:val="28"/>
                  <w:szCs w:val="28"/>
                  <w:lang w:val="uk-UA"/>
                </w:rPr>
              </m:ctrlPr>
            </m:sSubPr>
            <m:e>
              <m:r>
                <m:rPr>
                  <m:sty m:val="p"/>
                </m:rPr>
                <w:rPr>
                  <w:rFonts w:ascii="Cambria Math" w:hAnsi="Times New Roman" w:cs="Times New Roman"/>
                  <w:sz w:val="28"/>
                  <w:szCs w:val="28"/>
                  <w:lang w:val="en-US"/>
                </w:rPr>
                <m:t>S</m:t>
              </m:r>
            </m:e>
            <m:sub>
              <m:r>
                <m:rPr>
                  <m:sty m:val="p"/>
                </m:rPr>
                <w:rPr>
                  <w:rFonts w:ascii="Cambria Math" w:hAnsi="Times New Roman" w:cs="Times New Roman"/>
                  <w:sz w:val="28"/>
                  <w:szCs w:val="28"/>
                  <w:lang w:val="uk-UA"/>
                </w:rPr>
                <m:t>ОНПУ</m:t>
              </m:r>
            </m:sub>
          </m:sSub>
          <m:r>
            <m:rPr>
              <m:sty m:val="p"/>
            </m:rPr>
            <w:rPr>
              <w:rFonts w:ascii="Cambria Math" w:hAnsi="Times New Roman" w:cs="Times New Roman"/>
              <w:sz w:val="28"/>
              <w:szCs w:val="28"/>
              <w:lang w:val="uk-UA"/>
            </w:rPr>
            <m:t>=</m:t>
          </m:r>
          <m:f>
            <m:fPr>
              <m:ctrlPr>
                <w:rPr>
                  <w:rFonts w:ascii="Cambria Math" w:hAnsi="Times New Roman" w:cs="Times New Roman"/>
                  <w:sz w:val="28"/>
                  <w:szCs w:val="28"/>
                  <w:lang w:val="uk-UA"/>
                </w:rPr>
              </m:ctrlPr>
            </m:fPr>
            <m:num>
              <m:rad>
                <m:radPr>
                  <m:degHide m:val="on"/>
                  <m:ctrlPr>
                    <w:rPr>
                      <w:rFonts w:ascii="Cambria Math" w:hAnsi="Times New Roman" w:cs="Times New Roman"/>
                      <w:sz w:val="28"/>
                      <w:szCs w:val="28"/>
                      <w:lang w:val="uk-UA"/>
                    </w:rPr>
                  </m:ctrlPr>
                </m:radPr>
                <m:deg/>
                <m:e>
                  <m:r>
                    <m:rPr>
                      <m:sty m:val="p"/>
                    </m:rPr>
                    <w:rPr>
                      <w:rFonts w:ascii="Cambria Math" w:hAnsi="Times New Roman" w:cs="Times New Roman"/>
                      <w:sz w:val="28"/>
                      <w:szCs w:val="28"/>
                      <w:lang w:val="uk-UA"/>
                    </w:rPr>
                    <m:t>3</m:t>
                  </m:r>
                </m:e>
              </m:rad>
            </m:num>
            <m:den>
              <m:r>
                <m:rPr>
                  <m:sty m:val="p"/>
                </m:rPr>
                <w:rPr>
                  <w:rFonts w:ascii="Cambria Math" w:hAnsi="Times New Roman" w:cs="Times New Roman"/>
                  <w:sz w:val="28"/>
                  <w:szCs w:val="28"/>
                  <w:lang w:val="uk-UA"/>
                </w:rPr>
                <m:t>4</m:t>
              </m:r>
            </m:den>
          </m:f>
          <m:r>
            <m:rPr>
              <m:sty m:val="p"/>
            </m:rPr>
            <w:rPr>
              <w:rFonts w:ascii="Times New Roman" w:hAnsi="Cambria Math" w:cs="Times New Roman"/>
              <w:sz w:val="28"/>
              <w:szCs w:val="28"/>
              <w:lang w:val="uk-UA"/>
            </w:rPr>
            <m:t>*</m:t>
          </m:r>
          <m:d>
            <m:dPr>
              <m:ctrlPr>
                <w:rPr>
                  <w:rFonts w:ascii="Cambria Math" w:hAnsi="Times New Roman" w:cs="Times New Roman"/>
                  <w:sz w:val="28"/>
                  <w:szCs w:val="28"/>
                  <w:lang w:val="uk-UA"/>
                </w:rPr>
              </m:ctrlPr>
            </m:dPr>
            <m:e>
              <m:r>
                <m:rPr>
                  <m:sty m:val="p"/>
                </m:rPr>
                <w:rPr>
                  <w:rFonts w:ascii="Cambria Math" w:hAnsi="Times New Roman" w:cs="Times New Roman"/>
                  <w:sz w:val="28"/>
                  <w:szCs w:val="28"/>
                  <w:lang w:val="uk-UA"/>
                </w:rPr>
                <m:t>10</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7+7</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9+9</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8+8</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10+10</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10+10</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10</m:t>
              </m:r>
            </m:e>
          </m:d>
          <m:r>
            <m:rPr>
              <m:sty m:val="p"/>
            </m:rPr>
            <w:rPr>
              <w:rFonts w:ascii="Cambria Math" w:hAnsi="Times New Roman" w:cs="Times New Roman"/>
              <w:sz w:val="28"/>
              <w:szCs w:val="28"/>
              <w:lang w:val="uk-UA"/>
            </w:rPr>
            <m:t>=</m:t>
          </m:r>
          <m:f>
            <m:fPr>
              <m:ctrlPr>
                <w:rPr>
                  <w:rFonts w:ascii="Cambria Math" w:hAnsi="Times New Roman" w:cs="Times New Roman"/>
                  <w:sz w:val="28"/>
                  <w:szCs w:val="28"/>
                  <w:lang w:val="uk-UA"/>
                </w:rPr>
              </m:ctrlPr>
            </m:fPr>
            <m:num>
              <m:rad>
                <m:radPr>
                  <m:degHide m:val="on"/>
                  <m:ctrlPr>
                    <w:rPr>
                      <w:rFonts w:ascii="Cambria Math" w:hAnsi="Times New Roman" w:cs="Times New Roman"/>
                      <w:sz w:val="28"/>
                      <w:szCs w:val="28"/>
                      <w:lang w:val="uk-UA"/>
                    </w:rPr>
                  </m:ctrlPr>
                </m:radPr>
                <m:deg/>
                <m:e>
                  <m:r>
                    <m:rPr>
                      <m:sty m:val="p"/>
                    </m:rPr>
                    <w:rPr>
                      <w:rFonts w:ascii="Cambria Math" w:hAnsi="Times New Roman" w:cs="Times New Roman"/>
                      <w:sz w:val="28"/>
                      <w:szCs w:val="28"/>
                      <w:lang w:val="uk-UA"/>
                    </w:rPr>
                    <m:t>3</m:t>
                  </m:r>
                </m:e>
              </m:rad>
            </m:num>
            <m:den>
              <m:r>
                <m:rPr>
                  <m:sty m:val="p"/>
                </m:rPr>
                <w:rPr>
                  <w:rFonts w:ascii="Cambria Math" w:hAnsi="Times New Roman" w:cs="Times New Roman"/>
                  <w:sz w:val="28"/>
                  <w:szCs w:val="28"/>
                  <w:lang w:val="uk-UA"/>
                </w:rPr>
                <m:t>4</m:t>
              </m:r>
            </m:den>
          </m:f>
          <m:r>
            <m:rPr>
              <m:sty m:val="p"/>
            </m:rPr>
            <w:rPr>
              <w:rFonts w:ascii="Times New Roman" w:hAnsi="Cambria Math" w:cs="Times New Roman"/>
              <w:sz w:val="28"/>
              <w:szCs w:val="28"/>
              <w:lang w:val="uk-UA"/>
            </w:rPr>
            <m:t>*</m:t>
          </m:r>
          <m:r>
            <m:rPr>
              <m:sty m:val="p"/>
            </m:rPr>
            <w:rPr>
              <w:rFonts w:ascii="Cambria Math" w:hAnsi="Times New Roman" w:cs="Times New Roman"/>
              <w:sz w:val="28"/>
              <w:szCs w:val="28"/>
              <w:lang w:val="uk-UA"/>
            </w:rPr>
            <m:t>485=208,55</m:t>
          </m:r>
        </m:oMath>
      </m:oMathPara>
    </w:p>
    <w:p w:rsidR="002D4DAA" w:rsidRPr="00EE10C5" w:rsidRDefault="00D6656A" w:rsidP="00EE10C5">
      <w:pPr>
        <w:spacing w:after="0" w:line="240" w:lineRule="auto"/>
        <w:ind w:firstLine="709"/>
        <w:jc w:val="both"/>
        <w:rPr>
          <w:rFonts w:ascii="Times New Roman" w:eastAsia="Times New Roman" w:hAnsi="Times New Roman" w:cs="Times New Roman"/>
          <w:sz w:val="28"/>
          <w:szCs w:val="28"/>
          <w:lang w:val="uk-UA"/>
        </w:rPr>
      </w:pPr>
      <m:oMathPara>
        <m:oMath>
          <m:sSub>
            <m:sSubPr>
              <m:ctrlPr>
                <w:rPr>
                  <w:rFonts w:ascii="Cambria Math" w:hAnsi="Times New Roman" w:cs="Times New Roman"/>
                  <w:sz w:val="28"/>
                  <w:szCs w:val="28"/>
                  <w:lang w:val="uk-UA"/>
                </w:rPr>
              </m:ctrlPr>
            </m:sSubPr>
            <m:e>
              <m:r>
                <m:rPr>
                  <m:sty m:val="p"/>
                </m:rPr>
                <w:rPr>
                  <w:rFonts w:ascii="Cambria Math" w:hAnsi="Times New Roman" w:cs="Times New Roman"/>
                  <w:sz w:val="28"/>
                  <w:szCs w:val="28"/>
                  <w:lang w:val="en-US"/>
                </w:rPr>
                <m:t>S</m:t>
              </m:r>
            </m:e>
            <m:sub>
              <m:r>
                <m:rPr>
                  <m:sty m:val="p"/>
                </m:rPr>
                <w:rPr>
                  <w:rFonts w:ascii="Cambria Math" w:hAnsi="Times New Roman" w:cs="Times New Roman"/>
                  <w:sz w:val="28"/>
                  <w:szCs w:val="28"/>
                  <w:lang w:val="uk-UA"/>
                </w:rPr>
                <m:t>ОНЕУ</m:t>
              </m:r>
            </m:sub>
          </m:sSub>
          <m:r>
            <m:rPr>
              <m:sty m:val="p"/>
            </m:rPr>
            <w:rPr>
              <w:rFonts w:ascii="Cambria Math" w:hAnsi="Times New Roman" w:cs="Times New Roman"/>
              <w:sz w:val="28"/>
              <w:szCs w:val="28"/>
              <w:lang w:val="uk-UA"/>
            </w:rPr>
            <m:t>=</m:t>
          </m:r>
          <m:f>
            <m:fPr>
              <m:ctrlPr>
                <w:rPr>
                  <w:rFonts w:ascii="Cambria Math" w:hAnsi="Times New Roman" w:cs="Times New Roman"/>
                  <w:sz w:val="28"/>
                  <w:szCs w:val="28"/>
                  <w:lang w:val="uk-UA"/>
                </w:rPr>
              </m:ctrlPr>
            </m:fPr>
            <m:num>
              <m:rad>
                <m:radPr>
                  <m:degHide m:val="on"/>
                  <m:ctrlPr>
                    <w:rPr>
                      <w:rFonts w:ascii="Cambria Math" w:hAnsi="Times New Roman" w:cs="Times New Roman"/>
                      <w:sz w:val="28"/>
                      <w:szCs w:val="28"/>
                      <w:lang w:val="uk-UA"/>
                    </w:rPr>
                  </m:ctrlPr>
                </m:radPr>
                <m:deg/>
                <m:e>
                  <m:r>
                    <m:rPr>
                      <m:sty m:val="p"/>
                    </m:rPr>
                    <w:rPr>
                      <w:rFonts w:ascii="Cambria Math" w:hAnsi="Times New Roman" w:cs="Times New Roman"/>
                      <w:sz w:val="28"/>
                      <w:szCs w:val="28"/>
                      <w:lang w:val="uk-UA"/>
                    </w:rPr>
                    <m:t>3</m:t>
                  </m:r>
                </m:e>
              </m:rad>
            </m:num>
            <m:den>
              <m:r>
                <m:rPr>
                  <m:sty m:val="p"/>
                </m:rPr>
                <w:rPr>
                  <w:rFonts w:ascii="Cambria Math" w:hAnsi="Times New Roman" w:cs="Times New Roman"/>
                  <w:sz w:val="28"/>
                  <w:szCs w:val="28"/>
                  <w:lang w:val="uk-UA"/>
                </w:rPr>
                <m:t>4</m:t>
              </m:r>
            </m:den>
          </m:f>
          <m:r>
            <m:rPr>
              <m:sty m:val="p"/>
            </m:rPr>
            <w:rPr>
              <w:rFonts w:ascii="Times New Roman" w:hAnsi="Cambria Math" w:cs="Times New Roman"/>
              <w:sz w:val="28"/>
              <w:szCs w:val="28"/>
              <w:lang w:val="uk-UA"/>
            </w:rPr>
            <m:t>*</m:t>
          </m:r>
          <m:d>
            <m:dPr>
              <m:ctrlPr>
                <w:rPr>
                  <w:rFonts w:ascii="Cambria Math" w:hAnsi="Times New Roman" w:cs="Times New Roman"/>
                  <w:sz w:val="28"/>
                  <w:szCs w:val="28"/>
                  <w:lang w:val="uk-UA"/>
                </w:rPr>
              </m:ctrlPr>
            </m:dPr>
            <m:e>
              <m:r>
                <m:rPr>
                  <m:sty m:val="p"/>
                </m:rPr>
                <w:rPr>
                  <w:rFonts w:ascii="Cambria Math" w:hAnsi="Times New Roman" w:cs="Times New Roman"/>
                  <w:sz w:val="28"/>
                  <w:szCs w:val="28"/>
                  <w:lang w:val="uk-UA"/>
                </w:rPr>
                <m:t>9</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9+9</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7+7</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8+8</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9+9</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7+7</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9</m:t>
              </m:r>
            </m:e>
          </m:d>
          <m:r>
            <m:rPr>
              <m:sty m:val="p"/>
            </m:rPr>
            <w:rPr>
              <w:rFonts w:ascii="Cambria Math" w:hAnsi="Times New Roman" w:cs="Times New Roman"/>
              <w:sz w:val="28"/>
              <w:szCs w:val="28"/>
              <w:lang w:val="uk-UA"/>
            </w:rPr>
            <m:t>=</m:t>
          </m:r>
          <m:f>
            <m:fPr>
              <m:ctrlPr>
                <w:rPr>
                  <w:rFonts w:ascii="Cambria Math" w:hAnsi="Times New Roman" w:cs="Times New Roman"/>
                  <w:sz w:val="28"/>
                  <w:szCs w:val="28"/>
                  <w:lang w:val="uk-UA"/>
                </w:rPr>
              </m:ctrlPr>
            </m:fPr>
            <m:num>
              <m:rad>
                <m:radPr>
                  <m:degHide m:val="on"/>
                  <m:ctrlPr>
                    <w:rPr>
                      <w:rFonts w:ascii="Cambria Math" w:hAnsi="Times New Roman" w:cs="Times New Roman"/>
                      <w:sz w:val="28"/>
                      <w:szCs w:val="28"/>
                      <w:lang w:val="uk-UA"/>
                    </w:rPr>
                  </m:ctrlPr>
                </m:radPr>
                <m:deg/>
                <m:e>
                  <m:r>
                    <m:rPr>
                      <m:sty m:val="p"/>
                    </m:rPr>
                    <w:rPr>
                      <w:rFonts w:ascii="Cambria Math" w:hAnsi="Times New Roman" w:cs="Times New Roman"/>
                      <w:sz w:val="28"/>
                      <w:szCs w:val="28"/>
                      <w:lang w:val="uk-UA"/>
                    </w:rPr>
                    <m:t>3</m:t>
                  </m:r>
                </m:e>
              </m:rad>
            </m:num>
            <m:den>
              <m:r>
                <m:rPr>
                  <m:sty m:val="p"/>
                </m:rPr>
                <w:rPr>
                  <w:rFonts w:ascii="Cambria Math" w:hAnsi="Times New Roman" w:cs="Times New Roman"/>
                  <w:sz w:val="28"/>
                  <w:szCs w:val="28"/>
                  <w:lang w:val="uk-UA"/>
                </w:rPr>
                <m:t>4</m:t>
              </m:r>
            </m:den>
          </m:f>
          <m:r>
            <m:rPr>
              <m:sty m:val="p"/>
            </m:rPr>
            <w:rPr>
              <w:rFonts w:ascii="Times New Roman" w:hAnsi="Cambria Math" w:cs="Times New Roman"/>
              <w:sz w:val="28"/>
              <w:szCs w:val="28"/>
              <w:lang w:val="uk-UA"/>
            </w:rPr>
            <m:t>*</m:t>
          </m:r>
          <m:r>
            <m:rPr>
              <m:sty m:val="p"/>
            </m:rPr>
            <w:rPr>
              <w:rFonts w:ascii="Cambria Math" w:hAnsi="Times New Roman" w:cs="Times New Roman"/>
              <w:sz w:val="28"/>
              <w:szCs w:val="28"/>
              <w:lang w:val="uk-UA"/>
            </w:rPr>
            <m:t>398=171,14</m:t>
          </m:r>
        </m:oMath>
      </m:oMathPara>
    </w:p>
    <w:p w:rsidR="002D4DAA" w:rsidRPr="00EE10C5" w:rsidRDefault="00D6656A" w:rsidP="00EE10C5">
      <w:pPr>
        <w:spacing w:after="0" w:line="240" w:lineRule="auto"/>
        <w:ind w:firstLine="709"/>
        <w:jc w:val="both"/>
        <w:rPr>
          <w:rFonts w:ascii="Times New Roman" w:eastAsia="Times New Roman" w:hAnsi="Times New Roman" w:cs="Times New Roman"/>
          <w:sz w:val="28"/>
          <w:szCs w:val="28"/>
          <w:lang w:val="uk-UA"/>
        </w:rPr>
      </w:pPr>
      <m:oMathPara>
        <m:oMath>
          <m:sSub>
            <m:sSubPr>
              <m:ctrlPr>
                <w:rPr>
                  <w:rFonts w:ascii="Cambria Math" w:hAnsi="Times New Roman" w:cs="Times New Roman"/>
                  <w:sz w:val="28"/>
                  <w:szCs w:val="28"/>
                  <w:lang w:val="uk-UA"/>
                </w:rPr>
              </m:ctrlPr>
            </m:sSubPr>
            <m:e>
              <m:r>
                <m:rPr>
                  <m:sty m:val="p"/>
                </m:rPr>
                <w:rPr>
                  <w:rFonts w:ascii="Cambria Math" w:hAnsi="Times New Roman" w:cs="Times New Roman"/>
                  <w:sz w:val="28"/>
                  <w:szCs w:val="28"/>
                  <w:lang w:val="en-US"/>
                </w:rPr>
                <m:t>S</m:t>
              </m:r>
            </m:e>
            <m:sub>
              <m:r>
                <m:rPr>
                  <m:sty m:val="p"/>
                </m:rPr>
                <w:rPr>
                  <w:rFonts w:ascii="Cambria Math" w:hAnsi="Times New Roman" w:cs="Times New Roman"/>
                  <w:sz w:val="28"/>
                  <w:szCs w:val="28"/>
                  <w:lang w:val="uk-UA"/>
                </w:rPr>
                <m:t>ОНАХТ</m:t>
              </m:r>
            </m:sub>
          </m:sSub>
          <m:r>
            <m:rPr>
              <m:sty m:val="p"/>
            </m:rPr>
            <w:rPr>
              <w:rFonts w:ascii="Cambria Math" w:hAnsi="Times New Roman" w:cs="Times New Roman"/>
              <w:sz w:val="28"/>
              <w:szCs w:val="28"/>
              <w:lang w:val="uk-UA"/>
            </w:rPr>
            <m:t>=</m:t>
          </m:r>
          <m:f>
            <m:fPr>
              <m:ctrlPr>
                <w:rPr>
                  <w:rFonts w:ascii="Cambria Math" w:hAnsi="Times New Roman" w:cs="Times New Roman"/>
                  <w:sz w:val="28"/>
                  <w:szCs w:val="28"/>
                  <w:lang w:val="uk-UA"/>
                </w:rPr>
              </m:ctrlPr>
            </m:fPr>
            <m:num>
              <m:rad>
                <m:radPr>
                  <m:degHide m:val="on"/>
                  <m:ctrlPr>
                    <w:rPr>
                      <w:rFonts w:ascii="Cambria Math" w:hAnsi="Times New Roman" w:cs="Times New Roman"/>
                      <w:sz w:val="28"/>
                      <w:szCs w:val="28"/>
                      <w:lang w:val="uk-UA"/>
                    </w:rPr>
                  </m:ctrlPr>
                </m:radPr>
                <m:deg/>
                <m:e>
                  <m:r>
                    <m:rPr>
                      <m:sty m:val="p"/>
                    </m:rPr>
                    <w:rPr>
                      <w:rFonts w:ascii="Cambria Math" w:hAnsi="Times New Roman" w:cs="Times New Roman"/>
                      <w:sz w:val="28"/>
                      <w:szCs w:val="28"/>
                      <w:lang w:val="uk-UA"/>
                    </w:rPr>
                    <m:t>3</m:t>
                  </m:r>
                </m:e>
              </m:rad>
            </m:num>
            <m:den>
              <m:r>
                <m:rPr>
                  <m:sty m:val="p"/>
                </m:rPr>
                <w:rPr>
                  <w:rFonts w:ascii="Cambria Math" w:hAnsi="Times New Roman" w:cs="Times New Roman"/>
                  <w:sz w:val="28"/>
                  <w:szCs w:val="28"/>
                  <w:lang w:val="uk-UA"/>
                </w:rPr>
                <m:t>4</m:t>
              </m:r>
            </m:den>
          </m:f>
          <m:r>
            <m:rPr>
              <m:sty m:val="p"/>
            </m:rPr>
            <w:rPr>
              <w:rFonts w:ascii="Times New Roman" w:hAnsi="Cambria Math" w:cs="Times New Roman"/>
              <w:sz w:val="28"/>
              <w:szCs w:val="28"/>
              <w:lang w:val="uk-UA"/>
            </w:rPr>
            <m:t>*</m:t>
          </m:r>
          <m:d>
            <m:dPr>
              <m:ctrlPr>
                <w:rPr>
                  <w:rFonts w:ascii="Cambria Math" w:hAnsi="Times New Roman" w:cs="Times New Roman"/>
                  <w:sz w:val="28"/>
                  <w:szCs w:val="28"/>
                  <w:lang w:val="uk-UA"/>
                </w:rPr>
              </m:ctrlPr>
            </m:dPr>
            <m:e>
              <m:r>
                <m:rPr>
                  <m:sty m:val="p"/>
                </m:rPr>
                <w:rPr>
                  <w:rFonts w:ascii="Cambria Math" w:hAnsi="Times New Roman" w:cs="Times New Roman"/>
                  <w:sz w:val="28"/>
                  <w:szCs w:val="28"/>
                  <w:lang w:val="uk-UA"/>
                </w:rPr>
                <m:t>8</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8+8</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8+8</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7+7</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8+8</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9+9</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8</m:t>
              </m:r>
            </m:e>
          </m:d>
          <m:r>
            <m:rPr>
              <m:sty m:val="p"/>
            </m:rPr>
            <w:rPr>
              <w:rFonts w:ascii="Cambria Math" w:hAnsi="Times New Roman" w:cs="Times New Roman"/>
              <w:sz w:val="28"/>
              <w:szCs w:val="28"/>
              <w:lang w:val="uk-UA"/>
            </w:rPr>
            <m:t>=</m:t>
          </m:r>
          <m:f>
            <m:fPr>
              <m:ctrlPr>
                <w:rPr>
                  <w:rFonts w:ascii="Cambria Math" w:hAnsi="Times New Roman" w:cs="Times New Roman"/>
                  <w:sz w:val="28"/>
                  <w:szCs w:val="28"/>
                  <w:lang w:val="uk-UA"/>
                </w:rPr>
              </m:ctrlPr>
            </m:fPr>
            <m:num>
              <m:rad>
                <m:radPr>
                  <m:degHide m:val="on"/>
                  <m:ctrlPr>
                    <w:rPr>
                      <w:rFonts w:ascii="Cambria Math" w:hAnsi="Times New Roman" w:cs="Times New Roman"/>
                      <w:sz w:val="28"/>
                      <w:szCs w:val="28"/>
                      <w:lang w:val="uk-UA"/>
                    </w:rPr>
                  </m:ctrlPr>
                </m:radPr>
                <m:deg/>
                <m:e>
                  <m:r>
                    <m:rPr>
                      <m:sty m:val="p"/>
                    </m:rPr>
                    <w:rPr>
                      <w:rFonts w:ascii="Cambria Math" w:hAnsi="Times New Roman" w:cs="Times New Roman"/>
                      <w:sz w:val="28"/>
                      <w:szCs w:val="28"/>
                      <w:lang w:val="uk-UA"/>
                    </w:rPr>
                    <m:t>3</m:t>
                  </m:r>
                </m:e>
              </m:rad>
            </m:num>
            <m:den>
              <m:r>
                <m:rPr>
                  <m:sty m:val="p"/>
                </m:rPr>
                <w:rPr>
                  <w:rFonts w:ascii="Cambria Math" w:hAnsi="Times New Roman" w:cs="Times New Roman"/>
                  <w:sz w:val="28"/>
                  <w:szCs w:val="28"/>
                  <w:lang w:val="uk-UA"/>
                </w:rPr>
                <m:t>4</m:t>
              </m:r>
            </m:den>
          </m:f>
          <m:r>
            <m:rPr>
              <m:sty m:val="p"/>
            </m:rPr>
            <w:rPr>
              <w:rFonts w:ascii="Times New Roman" w:hAnsi="Cambria Math" w:cs="Times New Roman"/>
              <w:sz w:val="28"/>
              <w:szCs w:val="28"/>
              <w:lang w:val="uk-UA"/>
            </w:rPr>
            <m:t>*</m:t>
          </m:r>
          <m:r>
            <m:rPr>
              <m:sty m:val="p"/>
            </m:rPr>
            <w:rPr>
              <w:rFonts w:ascii="Cambria Math" w:hAnsi="Times New Roman" w:cs="Times New Roman"/>
              <w:sz w:val="28"/>
              <w:szCs w:val="28"/>
              <w:lang w:val="uk-UA"/>
            </w:rPr>
            <m:t>384=165,12</m:t>
          </m:r>
        </m:oMath>
      </m:oMathPara>
    </w:p>
    <w:p w:rsidR="002D4DAA" w:rsidRPr="00EE10C5" w:rsidRDefault="00D6656A" w:rsidP="00EE10C5">
      <w:pPr>
        <w:spacing w:after="0" w:line="240" w:lineRule="auto"/>
        <w:ind w:firstLine="709"/>
        <w:jc w:val="both"/>
        <w:rPr>
          <w:rFonts w:ascii="Times New Roman" w:eastAsia="Times New Roman" w:hAnsi="Times New Roman" w:cs="Times New Roman"/>
          <w:sz w:val="28"/>
          <w:szCs w:val="28"/>
          <w:lang w:val="uk-UA"/>
        </w:rPr>
      </w:pPr>
      <m:oMathPara>
        <m:oMath>
          <m:sSub>
            <m:sSubPr>
              <m:ctrlPr>
                <w:rPr>
                  <w:rFonts w:ascii="Cambria Math" w:hAnsi="Times New Roman" w:cs="Times New Roman"/>
                  <w:sz w:val="28"/>
                  <w:szCs w:val="28"/>
                  <w:lang w:val="uk-UA"/>
                </w:rPr>
              </m:ctrlPr>
            </m:sSubPr>
            <m:e>
              <m:r>
                <m:rPr>
                  <m:sty m:val="p"/>
                </m:rPr>
                <w:rPr>
                  <w:rFonts w:ascii="Cambria Math" w:hAnsi="Times New Roman" w:cs="Times New Roman"/>
                  <w:sz w:val="28"/>
                  <w:szCs w:val="28"/>
                  <w:lang w:val="en-US"/>
                </w:rPr>
                <m:t>I</m:t>
              </m:r>
            </m:e>
            <m:sub>
              <m:r>
                <m:rPr>
                  <m:sty m:val="p"/>
                </m:rPr>
                <w:rPr>
                  <w:rFonts w:ascii="Cambria Math" w:hAnsi="Times New Roman" w:cs="Times New Roman"/>
                  <w:sz w:val="28"/>
                  <w:szCs w:val="28"/>
                  <w:lang w:val="en-US"/>
                </w:rPr>
                <m:t>ОНПУ</m:t>
              </m:r>
            </m:sub>
          </m:sSub>
          <m:r>
            <m:rPr>
              <m:sty m:val="p"/>
            </m:rPr>
            <w:rPr>
              <w:rFonts w:ascii="Cambria Math" w:hAnsi="Times New Roman" w:cs="Times New Roman"/>
              <w:sz w:val="28"/>
              <w:szCs w:val="28"/>
              <w:lang w:val="uk-UA"/>
            </w:rPr>
            <m:t>=</m:t>
          </m:r>
          <m:f>
            <m:fPr>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208,55</m:t>
              </m:r>
            </m:num>
            <m:den>
              <m:r>
                <m:rPr>
                  <m:sty m:val="p"/>
                </m:rPr>
                <w:rPr>
                  <w:rFonts w:ascii="Cambria Math" w:hAnsi="Times New Roman" w:cs="Times New Roman"/>
                  <w:sz w:val="28"/>
                  <w:szCs w:val="28"/>
                  <w:lang w:val="uk-UA"/>
                </w:rPr>
                <m:t>224,89</m:t>
              </m:r>
            </m:den>
          </m:f>
          <m:r>
            <m:rPr>
              <m:sty m:val="p"/>
            </m:rPr>
            <w:rPr>
              <w:rFonts w:ascii="Cambria Math" w:hAnsi="Times New Roman" w:cs="Times New Roman"/>
              <w:sz w:val="28"/>
              <w:szCs w:val="28"/>
              <w:lang w:val="uk-UA"/>
            </w:rPr>
            <m:t>=0.93</m:t>
          </m:r>
        </m:oMath>
      </m:oMathPara>
    </w:p>
    <w:p w:rsidR="002D4DAA" w:rsidRPr="00EE10C5" w:rsidRDefault="00D6656A" w:rsidP="00EE10C5">
      <w:pPr>
        <w:spacing w:after="0" w:line="240" w:lineRule="auto"/>
        <w:ind w:firstLine="709"/>
        <w:jc w:val="both"/>
        <w:rPr>
          <w:rFonts w:ascii="Times New Roman" w:eastAsia="Times New Roman" w:hAnsi="Times New Roman" w:cs="Times New Roman"/>
          <w:sz w:val="28"/>
          <w:szCs w:val="28"/>
          <w:lang w:val="uk-UA"/>
        </w:rPr>
      </w:pPr>
      <m:oMathPara>
        <m:oMath>
          <m:sSub>
            <m:sSubPr>
              <m:ctrlPr>
                <w:rPr>
                  <w:rFonts w:ascii="Cambria Math" w:hAnsi="Times New Roman" w:cs="Times New Roman"/>
                  <w:sz w:val="28"/>
                  <w:szCs w:val="28"/>
                  <w:lang w:val="uk-UA"/>
                </w:rPr>
              </m:ctrlPr>
            </m:sSubPr>
            <m:e>
              <m:r>
                <m:rPr>
                  <m:sty m:val="p"/>
                </m:rPr>
                <w:rPr>
                  <w:rFonts w:ascii="Cambria Math" w:hAnsi="Times New Roman" w:cs="Times New Roman"/>
                  <w:sz w:val="28"/>
                  <w:szCs w:val="28"/>
                  <w:lang w:val="en-US"/>
                </w:rPr>
                <m:t>I</m:t>
              </m:r>
            </m:e>
            <m:sub>
              <m:r>
                <m:rPr>
                  <m:sty m:val="p"/>
                </m:rPr>
                <w:rPr>
                  <w:rFonts w:ascii="Cambria Math" w:hAnsi="Times New Roman" w:cs="Times New Roman"/>
                  <w:sz w:val="28"/>
                  <w:szCs w:val="28"/>
                  <w:lang w:val="en-US"/>
                </w:rPr>
                <m:t>ОНЕУ</m:t>
              </m:r>
            </m:sub>
          </m:sSub>
          <m:r>
            <m:rPr>
              <m:sty m:val="p"/>
            </m:rPr>
            <w:rPr>
              <w:rFonts w:ascii="Cambria Math" w:hAnsi="Times New Roman" w:cs="Times New Roman"/>
              <w:sz w:val="28"/>
              <w:szCs w:val="28"/>
              <w:lang w:val="uk-UA"/>
            </w:rPr>
            <m:t>=</m:t>
          </m:r>
          <m:f>
            <m:fPr>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171,14</m:t>
              </m:r>
            </m:num>
            <m:den>
              <m:r>
                <m:rPr>
                  <m:sty m:val="p"/>
                </m:rPr>
                <w:rPr>
                  <w:rFonts w:ascii="Cambria Math" w:hAnsi="Times New Roman" w:cs="Times New Roman"/>
                  <w:sz w:val="28"/>
                  <w:szCs w:val="28"/>
                  <w:lang w:val="uk-UA"/>
                </w:rPr>
                <m:t>224,89</m:t>
              </m:r>
            </m:den>
          </m:f>
          <m:r>
            <m:rPr>
              <m:sty m:val="p"/>
            </m:rPr>
            <w:rPr>
              <w:rFonts w:ascii="Cambria Math" w:hAnsi="Times New Roman" w:cs="Times New Roman"/>
              <w:sz w:val="28"/>
              <w:szCs w:val="28"/>
              <w:lang w:val="uk-UA"/>
            </w:rPr>
            <m:t>=0.76</m:t>
          </m:r>
        </m:oMath>
      </m:oMathPara>
    </w:p>
    <w:p w:rsidR="002D4DAA" w:rsidRPr="00EE10C5" w:rsidRDefault="00D6656A" w:rsidP="00EE10C5">
      <w:pPr>
        <w:spacing w:after="0" w:line="240" w:lineRule="auto"/>
        <w:ind w:firstLine="709"/>
        <w:jc w:val="both"/>
        <w:rPr>
          <w:rFonts w:ascii="Times New Roman" w:eastAsia="Times New Roman" w:hAnsi="Times New Roman" w:cs="Times New Roman"/>
          <w:sz w:val="28"/>
          <w:szCs w:val="28"/>
          <w:lang w:val="uk-UA"/>
        </w:rPr>
      </w:pPr>
      <m:oMathPara>
        <m:oMath>
          <m:sSub>
            <m:sSubPr>
              <m:ctrlPr>
                <w:rPr>
                  <w:rFonts w:ascii="Cambria Math" w:hAnsi="Times New Roman" w:cs="Times New Roman"/>
                  <w:sz w:val="28"/>
                  <w:szCs w:val="28"/>
                  <w:lang w:val="uk-UA"/>
                </w:rPr>
              </m:ctrlPr>
            </m:sSubPr>
            <m:e>
              <m:r>
                <m:rPr>
                  <m:sty m:val="p"/>
                </m:rPr>
                <w:rPr>
                  <w:rFonts w:ascii="Cambria Math" w:hAnsi="Times New Roman" w:cs="Times New Roman"/>
                  <w:sz w:val="28"/>
                  <w:szCs w:val="28"/>
                  <w:lang w:val="en-US"/>
                </w:rPr>
                <m:t>I</m:t>
              </m:r>
            </m:e>
            <m:sub>
              <m:r>
                <m:rPr>
                  <m:sty m:val="p"/>
                </m:rPr>
                <w:rPr>
                  <w:rFonts w:ascii="Cambria Math" w:hAnsi="Times New Roman" w:cs="Times New Roman"/>
                  <w:sz w:val="28"/>
                  <w:szCs w:val="28"/>
                  <w:lang w:val="en-US"/>
                </w:rPr>
                <m:t>ОНАХТ</m:t>
              </m:r>
            </m:sub>
          </m:sSub>
          <m:r>
            <m:rPr>
              <m:sty m:val="p"/>
            </m:rPr>
            <w:rPr>
              <w:rFonts w:ascii="Cambria Math" w:hAnsi="Times New Roman" w:cs="Times New Roman"/>
              <w:sz w:val="28"/>
              <w:szCs w:val="28"/>
              <w:lang w:val="uk-UA"/>
            </w:rPr>
            <m:t>=</m:t>
          </m:r>
          <m:f>
            <m:fPr>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165,12</m:t>
              </m:r>
            </m:num>
            <m:den>
              <m:r>
                <m:rPr>
                  <m:sty m:val="p"/>
                </m:rPr>
                <w:rPr>
                  <w:rFonts w:ascii="Cambria Math" w:hAnsi="Times New Roman" w:cs="Times New Roman"/>
                  <w:sz w:val="28"/>
                  <w:szCs w:val="28"/>
                  <w:lang w:val="uk-UA"/>
                </w:rPr>
                <m:t>224,89</m:t>
              </m:r>
            </m:den>
          </m:f>
          <m:r>
            <m:rPr>
              <m:sty m:val="p"/>
            </m:rPr>
            <w:rPr>
              <w:rFonts w:ascii="Cambria Math" w:hAnsi="Times New Roman" w:cs="Times New Roman"/>
              <w:sz w:val="28"/>
              <w:szCs w:val="28"/>
              <w:lang w:val="uk-UA"/>
            </w:rPr>
            <m:t>=0.73</m:t>
          </m:r>
        </m:oMath>
      </m:oMathPara>
    </w:p>
    <w:p w:rsidR="002D4DAA" w:rsidRPr="00EE10C5" w:rsidRDefault="002D4DAA" w:rsidP="00EE10C5">
      <w:pPr>
        <w:spacing w:after="0" w:line="240" w:lineRule="auto"/>
        <w:ind w:firstLine="709"/>
        <w:jc w:val="both"/>
        <w:rPr>
          <w:rFonts w:ascii="Times New Roman" w:eastAsia="Times New Roman" w:hAnsi="Times New Roman" w:cs="Times New Roman"/>
          <w:sz w:val="28"/>
          <w:szCs w:val="28"/>
          <w:lang w:val="uk-UA"/>
        </w:rPr>
      </w:pPr>
    </w:p>
    <w:p w:rsidR="002D4DAA" w:rsidRPr="00EE10C5" w:rsidRDefault="002D4DAA" w:rsidP="00EE10C5">
      <w:pPr>
        <w:spacing w:after="0" w:line="240" w:lineRule="auto"/>
        <w:ind w:firstLine="709"/>
        <w:jc w:val="both"/>
        <w:rPr>
          <w:rFonts w:ascii="Times New Roman" w:eastAsia="Times New Roman" w:hAnsi="Times New Roman" w:cs="Times New Roman"/>
          <w:sz w:val="28"/>
          <w:szCs w:val="28"/>
          <w:lang w:val="uk-UA"/>
        </w:rPr>
      </w:pPr>
      <w:r w:rsidRPr="00EE10C5">
        <w:rPr>
          <w:rFonts w:ascii="Times New Roman" w:eastAsia="Times New Roman" w:hAnsi="Times New Roman" w:cs="Times New Roman"/>
          <w:sz w:val="28"/>
          <w:szCs w:val="28"/>
          <w:lang w:val="uk-UA"/>
        </w:rPr>
        <w:t>Отже, найбільш конкурентоспроможним ВНЗ, що готує спеціалістів на напрямком «маркетинг» є Одеський національний політехнічний університет. Найнижчу оцінку ОНПУ має за фактор наявності бюджетних місць, але це є саме тим фактором, на покращення якого керівництво універс</w:t>
      </w:r>
      <w:r w:rsidR="007D0D4D">
        <w:rPr>
          <w:rFonts w:ascii="Times New Roman" w:eastAsia="Times New Roman" w:hAnsi="Times New Roman" w:cs="Times New Roman"/>
          <w:sz w:val="28"/>
          <w:szCs w:val="28"/>
          <w:lang w:val="uk-UA"/>
        </w:rPr>
        <w:t>итету має досить низький вплив.</w:t>
      </w:r>
    </w:p>
    <w:p w:rsidR="002D4DAA" w:rsidRPr="00EE10C5" w:rsidRDefault="00B90DC4" w:rsidP="00EE10C5">
      <w:pPr>
        <w:spacing w:after="0" w:line="240" w:lineRule="auto"/>
        <w:ind w:firstLine="709"/>
        <w:jc w:val="both"/>
        <w:rPr>
          <w:rFonts w:ascii="Times New Roman" w:eastAsia="Times New Roman" w:hAnsi="Times New Roman" w:cs="Times New Roman"/>
          <w:sz w:val="28"/>
          <w:szCs w:val="28"/>
          <w:lang w:val="uk-UA"/>
        </w:rPr>
      </w:pPr>
      <w:r w:rsidRPr="00EE10C5">
        <w:rPr>
          <w:rFonts w:ascii="Times New Roman" w:eastAsia="Times New Roman" w:hAnsi="Times New Roman" w:cs="Times New Roman"/>
          <w:sz w:val="28"/>
          <w:szCs w:val="28"/>
          <w:lang w:val="uk-UA"/>
        </w:rPr>
        <w:t>Серед</w:t>
      </w:r>
      <w:r w:rsidR="002D4DAA" w:rsidRPr="00EE10C5">
        <w:rPr>
          <w:rFonts w:ascii="Times New Roman" w:eastAsia="Times New Roman" w:hAnsi="Times New Roman" w:cs="Times New Roman"/>
          <w:sz w:val="28"/>
          <w:szCs w:val="28"/>
          <w:lang w:val="uk-UA"/>
        </w:rPr>
        <w:t xml:space="preserve"> найбільших перев</w:t>
      </w:r>
      <w:r w:rsidRPr="00EE10C5">
        <w:rPr>
          <w:rFonts w:ascii="Times New Roman" w:eastAsia="Times New Roman" w:hAnsi="Times New Roman" w:cs="Times New Roman"/>
          <w:sz w:val="28"/>
          <w:szCs w:val="28"/>
          <w:lang w:val="uk-UA"/>
        </w:rPr>
        <w:t>аг Політехнічного університету можна виділити:</w:t>
      </w:r>
      <w:r w:rsidR="002D4DAA" w:rsidRPr="00EE10C5">
        <w:rPr>
          <w:rFonts w:ascii="Times New Roman" w:eastAsia="Times New Roman" w:hAnsi="Times New Roman" w:cs="Times New Roman"/>
          <w:sz w:val="28"/>
          <w:szCs w:val="28"/>
          <w:lang w:val="uk-UA"/>
        </w:rPr>
        <w:t xml:space="preserve"> професорсько-викладацький</w:t>
      </w:r>
      <w:r w:rsidRPr="00EE10C5">
        <w:rPr>
          <w:rFonts w:ascii="Times New Roman" w:eastAsia="Times New Roman" w:hAnsi="Times New Roman" w:cs="Times New Roman"/>
          <w:sz w:val="28"/>
          <w:szCs w:val="28"/>
          <w:lang w:val="uk-UA"/>
        </w:rPr>
        <w:t xml:space="preserve"> склад, використання методу дуальної освіти, що передбачає співробітництво з підприємствами міста, сильна матеріально-технічна база.</w:t>
      </w:r>
    </w:p>
    <w:p w:rsidR="00B90DC4" w:rsidRPr="00EE10C5" w:rsidRDefault="00B90DC4" w:rsidP="00EE10C5">
      <w:pPr>
        <w:spacing w:after="0" w:line="240" w:lineRule="auto"/>
        <w:ind w:firstLine="709"/>
        <w:jc w:val="both"/>
        <w:rPr>
          <w:rFonts w:ascii="Times New Roman" w:eastAsia="Times New Roman" w:hAnsi="Times New Roman" w:cs="Times New Roman"/>
          <w:sz w:val="28"/>
          <w:szCs w:val="28"/>
          <w:lang w:val="uk-UA"/>
        </w:rPr>
      </w:pPr>
      <w:r w:rsidRPr="00EE10C5">
        <w:rPr>
          <w:rFonts w:ascii="Times New Roman" w:eastAsia="Times New Roman" w:hAnsi="Times New Roman" w:cs="Times New Roman"/>
          <w:sz w:val="28"/>
          <w:szCs w:val="28"/>
          <w:lang w:val="uk-UA"/>
        </w:rPr>
        <w:t>Згідно з дослідженням, що було проведено Робочою групою з реформування вищої освіти в Україні під керівництвом Міністерства і науки України, серед найбільших проблем вищої освіти сьогодні є: невідповідність викладання вимогам ринку праці,</w:t>
      </w:r>
      <w:r w:rsidR="004E2341" w:rsidRPr="00EE10C5">
        <w:rPr>
          <w:rFonts w:ascii="Times New Roman" w:eastAsia="Times New Roman" w:hAnsi="Times New Roman" w:cs="Times New Roman"/>
          <w:sz w:val="28"/>
          <w:szCs w:val="28"/>
          <w:lang w:val="uk-UA"/>
        </w:rPr>
        <w:t xml:space="preserve"> слабка матеріально-технічна база ВНЗ, низький професійний рівень викладачів [4]. Об’єднання  ВНЗ дозволить подолати ці проблеми через відбір найбільш кваліфікованих викладачів, які зможуть надати студентам ті знання, які необхідні для їх подальшої роботи та будуть відповідати вимогам ринку та роботодавців.</w:t>
      </w:r>
    </w:p>
    <w:p w:rsidR="004E2341" w:rsidRPr="00EE10C5" w:rsidRDefault="004E2341" w:rsidP="00EE10C5">
      <w:pPr>
        <w:spacing w:after="0" w:line="240" w:lineRule="auto"/>
        <w:ind w:firstLine="709"/>
        <w:jc w:val="both"/>
        <w:rPr>
          <w:rFonts w:ascii="Times New Roman" w:hAnsi="Times New Roman" w:cs="Times New Roman"/>
          <w:sz w:val="28"/>
          <w:szCs w:val="28"/>
          <w:lang w:val="uk-UA"/>
        </w:rPr>
      </w:pPr>
      <w:r w:rsidRPr="00EE10C5">
        <w:rPr>
          <w:rFonts w:ascii="Times New Roman" w:hAnsi="Times New Roman" w:cs="Times New Roman"/>
          <w:sz w:val="28"/>
          <w:szCs w:val="28"/>
          <w:lang w:val="uk-UA"/>
        </w:rPr>
        <w:t>Розвиток галузі вищої освіти є одним із головних важелів руху економіки усієї країни. Адже саме виховання кваліфікованих спеціалістів призводить до позитивних зрушень у сферах бізнесу, промисловості, науки, культури і т.д.</w:t>
      </w:r>
    </w:p>
    <w:p w:rsidR="004E2341" w:rsidRDefault="004E2341" w:rsidP="00EE10C5">
      <w:pPr>
        <w:spacing w:after="0" w:line="240" w:lineRule="auto"/>
        <w:ind w:firstLine="709"/>
        <w:jc w:val="both"/>
        <w:rPr>
          <w:rFonts w:ascii="Times New Roman" w:hAnsi="Times New Roman" w:cs="Times New Roman"/>
          <w:sz w:val="28"/>
          <w:szCs w:val="28"/>
          <w:lang w:val="uk-UA"/>
        </w:rPr>
      </w:pPr>
      <w:r w:rsidRPr="00EE10C5">
        <w:rPr>
          <w:rFonts w:ascii="Times New Roman" w:hAnsi="Times New Roman" w:cs="Times New Roman"/>
          <w:sz w:val="28"/>
          <w:szCs w:val="28"/>
          <w:lang w:val="uk-UA"/>
        </w:rPr>
        <w:t xml:space="preserve">Система вищої освіти потребує вдосконалення. Створення регіональних освітньо-наукових кластерів  дозволить досягти синергетичного ефекту, головною метою якого, в даному випадку, є функціонування регіональних освітньо-наукових центрів з сильною </w:t>
      </w:r>
      <w:r w:rsidRPr="00EE10C5">
        <w:rPr>
          <w:rFonts w:ascii="Times New Roman" w:hAnsi="Times New Roman" w:cs="Times New Roman"/>
          <w:sz w:val="28"/>
          <w:szCs w:val="28"/>
          <w:lang w:val="uk-UA"/>
        </w:rPr>
        <w:lastRenderedPageBreak/>
        <w:t>матеріально-технічною базою, найбільш кваліфікованим професорсько-викладацьким складом, тісними зв’язками безпосередньо з підприємницьким сектором.</w:t>
      </w:r>
    </w:p>
    <w:p w:rsidR="009B4129" w:rsidRPr="00EE10C5" w:rsidRDefault="009B4129" w:rsidP="00EE10C5">
      <w:pPr>
        <w:spacing w:after="0" w:line="240" w:lineRule="auto"/>
        <w:ind w:firstLine="709"/>
        <w:jc w:val="both"/>
        <w:rPr>
          <w:rFonts w:ascii="Times New Roman" w:hAnsi="Times New Roman" w:cs="Times New Roman"/>
          <w:sz w:val="28"/>
          <w:szCs w:val="28"/>
          <w:lang w:val="uk-UA"/>
        </w:rPr>
      </w:pPr>
    </w:p>
    <w:p w:rsidR="004E2341" w:rsidRPr="009B4129" w:rsidRDefault="009B4129" w:rsidP="009B4129">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Літературні джерела</w:t>
      </w:r>
    </w:p>
    <w:p w:rsidR="004E2341" w:rsidRPr="009B4129" w:rsidRDefault="004E2341" w:rsidP="00EE10C5">
      <w:pPr>
        <w:pStyle w:val="a6"/>
        <w:numPr>
          <w:ilvl w:val="0"/>
          <w:numId w:val="3"/>
        </w:numPr>
        <w:spacing w:after="0" w:line="240" w:lineRule="auto"/>
        <w:ind w:left="0" w:firstLine="709"/>
        <w:jc w:val="both"/>
        <w:rPr>
          <w:rFonts w:ascii="Times New Roman" w:hAnsi="Times New Roman"/>
          <w:sz w:val="28"/>
          <w:szCs w:val="28"/>
          <w:lang w:val="uk-UA"/>
        </w:rPr>
      </w:pPr>
      <w:r w:rsidRPr="009B4129">
        <w:rPr>
          <w:rFonts w:ascii="Times New Roman" w:hAnsi="Times New Roman"/>
          <w:sz w:val="28"/>
          <w:szCs w:val="28"/>
          <w:lang w:val="uk-UA"/>
        </w:rPr>
        <w:t>Інформаційна система «Конкурс»</w:t>
      </w:r>
      <w:r w:rsidR="005D00DB" w:rsidRPr="009B4129">
        <w:rPr>
          <w:rFonts w:ascii="Times New Roman" w:hAnsi="Times New Roman"/>
          <w:sz w:val="28"/>
          <w:szCs w:val="28"/>
          <w:lang w:val="uk-UA"/>
        </w:rPr>
        <w:t xml:space="preserve"> </w:t>
      </w:r>
      <w:r w:rsidR="005D00DB" w:rsidRPr="009B4129">
        <w:rPr>
          <w:rFonts w:ascii="Times New Roman" w:hAnsi="Times New Roman"/>
          <w:sz w:val="28"/>
          <w:szCs w:val="28"/>
        </w:rPr>
        <w:t>[</w:t>
      </w:r>
      <w:r w:rsidR="005D00DB" w:rsidRPr="009B4129">
        <w:rPr>
          <w:rFonts w:ascii="Times New Roman" w:hAnsi="Times New Roman"/>
          <w:sz w:val="28"/>
          <w:szCs w:val="28"/>
          <w:lang w:val="uk-UA"/>
        </w:rPr>
        <w:t>Електронний ресурс</w:t>
      </w:r>
      <w:r w:rsidR="005D00DB" w:rsidRPr="009B4129">
        <w:rPr>
          <w:rFonts w:ascii="Times New Roman" w:hAnsi="Times New Roman"/>
          <w:sz w:val="28"/>
          <w:szCs w:val="28"/>
        </w:rPr>
        <w:t>]</w:t>
      </w:r>
      <w:r w:rsidR="005D00DB" w:rsidRPr="009B4129">
        <w:rPr>
          <w:rFonts w:ascii="Times New Roman" w:hAnsi="Times New Roman"/>
          <w:sz w:val="28"/>
          <w:szCs w:val="28"/>
          <w:lang w:val="uk-UA"/>
        </w:rPr>
        <w:t>.</w:t>
      </w:r>
      <w:r w:rsidRPr="009B4129">
        <w:rPr>
          <w:rFonts w:ascii="Times New Roman" w:hAnsi="Times New Roman"/>
          <w:sz w:val="28"/>
          <w:szCs w:val="28"/>
          <w:lang w:val="uk-UA"/>
        </w:rPr>
        <w:t xml:space="preserve"> Режим доступу: </w:t>
      </w:r>
      <w:proofErr w:type="spellStart"/>
      <w:r w:rsidRPr="009B4129">
        <w:rPr>
          <w:rFonts w:ascii="Times New Roman" w:hAnsi="Times New Roman"/>
          <w:sz w:val="28"/>
          <w:szCs w:val="28"/>
          <w:lang w:val="en-US"/>
        </w:rPr>
        <w:t>vstuo</w:t>
      </w:r>
      <w:proofErr w:type="spellEnd"/>
      <w:r w:rsidRPr="009B4129">
        <w:rPr>
          <w:rFonts w:ascii="Times New Roman" w:hAnsi="Times New Roman"/>
          <w:sz w:val="28"/>
          <w:szCs w:val="28"/>
        </w:rPr>
        <w:t>.</w:t>
      </w:r>
      <w:r w:rsidRPr="009B4129">
        <w:rPr>
          <w:rFonts w:ascii="Times New Roman" w:hAnsi="Times New Roman"/>
          <w:sz w:val="28"/>
          <w:szCs w:val="28"/>
          <w:lang w:val="en-US"/>
        </w:rPr>
        <w:t>info</w:t>
      </w:r>
      <w:r w:rsidRPr="009B4129">
        <w:rPr>
          <w:rFonts w:ascii="Times New Roman" w:hAnsi="Times New Roman"/>
          <w:sz w:val="28"/>
          <w:szCs w:val="28"/>
        </w:rPr>
        <w:t>.</w:t>
      </w:r>
    </w:p>
    <w:p w:rsidR="004E2341" w:rsidRPr="009B4129" w:rsidRDefault="004E2341" w:rsidP="00EE10C5">
      <w:pPr>
        <w:pStyle w:val="a6"/>
        <w:numPr>
          <w:ilvl w:val="0"/>
          <w:numId w:val="3"/>
        </w:numPr>
        <w:spacing w:after="0" w:line="240" w:lineRule="auto"/>
        <w:ind w:left="0" w:firstLine="709"/>
        <w:jc w:val="both"/>
        <w:rPr>
          <w:rFonts w:ascii="Times New Roman" w:hAnsi="Times New Roman"/>
          <w:sz w:val="28"/>
          <w:szCs w:val="28"/>
          <w:lang w:val="uk-UA"/>
        </w:rPr>
      </w:pPr>
      <w:proofErr w:type="spellStart"/>
      <w:r w:rsidRPr="009B4129">
        <w:rPr>
          <w:rFonts w:ascii="Times New Roman" w:hAnsi="Times New Roman"/>
          <w:sz w:val="28"/>
          <w:szCs w:val="28"/>
          <w:lang w:val="uk-UA"/>
        </w:rPr>
        <w:t>Шафранська</w:t>
      </w:r>
      <w:proofErr w:type="spellEnd"/>
      <w:r w:rsidRPr="009B4129">
        <w:rPr>
          <w:rFonts w:ascii="Times New Roman" w:hAnsi="Times New Roman"/>
          <w:sz w:val="28"/>
          <w:szCs w:val="28"/>
          <w:lang w:val="uk-UA"/>
        </w:rPr>
        <w:t xml:space="preserve"> Т.Ю., Бойко І.Ю. Проблеми функціонування кластерів в Україні / Т.Ю. Шафранська // Вісник Черкаського університету. – 2013. - №4.</w:t>
      </w:r>
    </w:p>
    <w:p w:rsidR="004E2341" w:rsidRPr="009B4129" w:rsidRDefault="004E2341" w:rsidP="00EE10C5">
      <w:pPr>
        <w:pStyle w:val="a6"/>
        <w:numPr>
          <w:ilvl w:val="0"/>
          <w:numId w:val="3"/>
        </w:numPr>
        <w:spacing w:after="0" w:line="240" w:lineRule="auto"/>
        <w:ind w:left="0" w:firstLine="709"/>
        <w:jc w:val="both"/>
        <w:rPr>
          <w:rFonts w:ascii="Times New Roman" w:hAnsi="Times New Roman"/>
          <w:sz w:val="28"/>
          <w:szCs w:val="28"/>
          <w:lang w:val="uk-UA"/>
        </w:rPr>
      </w:pPr>
      <w:r w:rsidRPr="009B4129">
        <w:rPr>
          <w:rFonts w:ascii="Times New Roman" w:hAnsi="Times New Roman"/>
          <w:sz w:val="28"/>
          <w:szCs w:val="28"/>
          <w:lang w:val="uk-UA"/>
        </w:rPr>
        <w:t>Ставицький А. Підвищення якості вищої освіти в Україні за допомогою інституціональних перетворень / А. Ставицький // Матеріали конференції «Реформа вищої освіти в Україні». Київ – 2015 р.</w:t>
      </w:r>
    </w:p>
    <w:p w:rsidR="005D00DB" w:rsidRPr="009B4129" w:rsidRDefault="005D00DB" w:rsidP="00EE10C5">
      <w:pPr>
        <w:pStyle w:val="a6"/>
        <w:numPr>
          <w:ilvl w:val="0"/>
          <w:numId w:val="3"/>
        </w:numPr>
        <w:spacing w:after="0" w:line="240" w:lineRule="auto"/>
        <w:ind w:left="0" w:firstLine="709"/>
        <w:jc w:val="both"/>
        <w:rPr>
          <w:rFonts w:ascii="Times New Roman" w:hAnsi="Times New Roman"/>
          <w:sz w:val="28"/>
          <w:szCs w:val="28"/>
          <w:lang w:val="uk-UA"/>
        </w:rPr>
      </w:pPr>
      <w:r w:rsidRPr="009B4129">
        <w:rPr>
          <w:rFonts w:ascii="Times New Roman" w:hAnsi="Times New Roman"/>
          <w:sz w:val="28"/>
          <w:szCs w:val="28"/>
          <w:lang w:val="uk-UA"/>
        </w:rPr>
        <w:t>Стратегія реформування вищої освіти в Україні до 2020 року / Проект робочої групи під керівництвом Міністерства освіти і науки України [Електронний ресурс]. Режим доступу: http://old.mon.gov.ua/ua/pr-viddil/1312/1390288033/1415795124</w:t>
      </w:r>
      <w:r w:rsidR="007D0D4D">
        <w:rPr>
          <w:rFonts w:ascii="Times New Roman" w:hAnsi="Times New Roman"/>
          <w:sz w:val="28"/>
          <w:szCs w:val="28"/>
          <w:lang w:val="uk-UA"/>
        </w:rPr>
        <w:t>.</w:t>
      </w:r>
    </w:p>
    <w:sectPr w:rsidR="005D00DB" w:rsidRPr="009B4129" w:rsidSect="00BC02DA">
      <w:pgSz w:w="11906" w:h="16838"/>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456"/>
    <w:multiLevelType w:val="hybridMultilevel"/>
    <w:tmpl w:val="01266C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B04113"/>
    <w:multiLevelType w:val="hybridMultilevel"/>
    <w:tmpl w:val="F1502900"/>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69748C8"/>
    <w:multiLevelType w:val="hybridMultilevel"/>
    <w:tmpl w:val="F836F2B6"/>
    <w:lvl w:ilvl="0" w:tplc="EAF44C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C02DA"/>
    <w:rsid w:val="00014DE7"/>
    <w:rsid w:val="00017B46"/>
    <w:rsid w:val="000465CF"/>
    <w:rsid w:val="000A4E58"/>
    <w:rsid w:val="000F5544"/>
    <w:rsid w:val="001238CE"/>
    <w:rsid w:val="002D4DAA"/>
    <w:rsid w:val="003B7410"/>
    <w:rsid w:val="003F4638"/>
    <w:rsid w:val="00472E5D"/>
    <w:rsid w:val="004E2341"/>
    <w:rsid w:val="00503C71"/>
    <w:rsid w:val="005D00DB"/>
    <w:rsid w:val="007D0D4D"/>
    <w:rsid w:val="00814C81"/>
    <w:rsid w:val="009B4129"/>
    <w:rsid w:val="00B40711"/>
    <w:rsid w:val="00B90DC4"/>
    <w:rsid w:val="00BC02DA"/>
    <w:rsid w:val="00C25929"/>
    <w:rsid w:val="00C654BC"/>
    <w:rsid w:val="00D6656A"/>
    <w:rsid w:val="00E03E69"/>
    <w:rsid w:val="00E334C2"/>
    <w:rsid w:val="00E63B58"/>
    <w:rsid w:val="00EE10C5"/>
    <w:rsid w:val="00FE0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4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F4638"/>
    <w:pPr>
      <w:ind w:left="720"/>
    </w:pPr>
    <w:rPr>
      <w:rFonts w:ascii="Calibri" w:eastAsia="Times New Roman" w:hAnsi="Calibri" w:cs="Times New Roman"/>
    </w:rPr>
  </w:style>
  <w:style w:type="paragraph" w:styleId="a4">
    <w:name w:val="Balloon Text"/>
    <w:basedOn w:val="a"/>
    <w:link w:val="a5"/>
    <w:uiPriority w:val="99"/>
    <w:semiHidden/>
    <w:unhideWhenUsed/>
    <w:rsid w:val="000F55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544"/>
    <w:rPr>
      <w:rFonts w:ascii="Tahoma" w:hAnsi="Tahoma" w:cs="Tahoma"/>
      <w:sz w:val="16"/>
      <w:szCs w:val="16"/>
    </w:rPr>
  </w:style>
  <w:style w:type="character" w:customStyle="1" w:styleId="apple-converted-space">
    <w:name w:val="apple-converted-space"/>
    <w:basedOn w:val="a0"/>
    <w:rsid w:val="002D4DAA"/>
  </w:style>
  <w:style w:type="paragraph" w:styleId="a6">
    <w:name w:val="List Paragraph"/>
    <w:basedOn w:val="a"/>
    <w:uiPriority w:val="34"/>
    <w:qFormat/>
    <w:rsid w:val="002D4DAA"/>
    <w:pPr>
      <w:ind w:left="720"/>
      <w:contextualSpacing/>
    </w:pPr>
    <w:rPr>
      <w:rFonts w:ascii="Calibri" w:eastAsia="Calibri" w:hAnsi="Calibri" w:cs="Times New Roman"/>
    </w:rPr>
  </w:style>
  <w:style w:type="character" w:styleId="a7">
    <w:name w:val="Hyperlink"/>
    <w:basedOn w:val="a0"/>
    <w:uiPriority w:val="99"/>
    <w:unhideWhenUsed/>
    <w:rsid w:val="00E63B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4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F4638"/>
    <w:pPr>
      <w:ind w:left="720"/>
    </w:pPr>
    <w:rPr>
      <w:rFonts w:ascii="Calibri" w:eastAsia="Times New Roman" w:hAnsi="Calibri" w:cs="Times New Roman"/>
    </w:rPr>
  </w:style>
  <w:style w:type="paragraph" w:styleId="a4">
    <w:name w:val="Balloon Text"/>
    <w:basedOn w:val="a"/>
    <w:link w:val="a5"/>
    <w:uiPriority w:val="99"/>
    <w:semiHidden/>
    <w:unhideWhenUsed/>
    <w:rsid w:val="000F55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544"/>
    <w:rPr>
      <w:rFonts w:ascii="Tahoma" w:hAnsi="Tahoma" w:cs="Tahoma"/>
      <w:sz w:val="16"/>
      <w:szCs w:val="16"/>
    </w:rPr>
  </w:style>
  <w:style w:type="character" w:customStyle="1" w:styleId="apple-converted-space">
    <w:name w:val="apple-converted-space"/>
    <w:basedOn w:val="a0"/>
    <w:rsid w:val="002D4DAA"/>
  </w:style>
  <w:style w:type="paragraph" w:styleId="a6">
    <w:name w:val="List Paragraph"/>
    <w:basedOn w:val="a"/>
    <w:uiPriority w:val="34"/>
    <w:qFormat/>
    <w:rsid w:val="002D4DAA"/>
    <w:pPr>
      <w:ind w:left="720"/>
      <w:contextualSpacing/>
    </w:pPr>
    <w:rPr>
      <w:rFonts w:ascii="Calibri" w:eastAsia="Calibri" w:hAnsi="Calibri" w:cs="Times New Roman"/>
    </w:rPr>
  </w:style>
  <w:style w:type="character" w:styleId="a7">
    <w:name w:val="Hyperlink"/>
    <w:basedOn w:val="a0"/>
    <w:uiPriority w:val="99"/>
    <w:unhideWhenUsed/>
    <w:rsid w:val="00E63B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85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chart" Target="charts/chart2.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3;&#1103;\Desktop\&#1042;&#1053;&#1047;-20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3;&#1103;\Desktop\&#1042;&#1053;&#1047;-20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a:latin typeface="Times New Roman" pitchFamily="18" charset="0"/>
                <a:cs typeface="Times New Roman" pitchFamily="18" charset="0"/>
              </a:rPr>
              <a:t>Результати вступних кампаній за спеціальністю маркетинг, Україна, 2011-2015рр.</a:t>
            </a:r>
          </a:p>
        </c:rich>
      </c:tx>
    </c:title>
    <c:view3D>
      <c:depthPercent val="100"/>
      <c:rAngAx val="1"/>
    </c:view3D>
    <c:plotArea>
      <c:layout/>
      <c:bar3DChart>
        <c:barDir val="col"/>
        <c:grouping val="clustered"/>
        <c:ser>
          <c:idx val="0"/>
          <c:order val="0"/>
          <c:tx>
            <c:strRef>
              <c:f>'Вступні кампанії 2011-2015'!$D$1</c:f>
              <c:strCache>
                <c:ptCount val="1"/>
                <c:pt idx="0">
                  <c:v>Ліцензія</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dLbls>
            <c:txPr>
              <a:bodyPr/>
              <a:lstStyle/>
              <a:p>
                <a:pPr>
                  <a:defRPr>
                    <a:latin typeface="Times New Roman" pitchFamily="18" charset="0"/>
                    <a:cs typeface="Times New Roman" pitchFamily="18" charset="0"/>
                  </a:defRPr>
                </a:pPr>
                <a:endParaRPr lang="ru-RU"/>
              </a:p>
            </c:txPr>
            <c:showVal val="1"/>
          </c:dLbls>
          <c:cat>
            <c:numRef>
              <c:f>'Вступні кампанії 2011-2015'!$A$2:$A$6</c:f>
              <c:numCache>
                <c:formatCode>General</c:formatCode>
                <c:ptCount val="5"/>
                <c:pt idx="0">
                  <c:v>2011</c:v>
                </c:pt>
                <c:pt idx="1">
                  <c:v>2012</c:v>
                </c:pt>
                <c:pt idx="2">
                  <c:v>2013</c:v>
                </c:pt>
                <c:pt idx="3">
                  <c:v>2014</c:v>
                </c:pt>
                <c:pt idx="4">
                  <c:v>2015</c:v>
                </c:pt>
              </c:numCache>
            </c:numRef>
          </c:cat>
          <c:val>
            <c:numRef>
              <c:f>'Вступні кампанії 2011-2015'!$D$2:$D$6</c:f>
              <c:numCache>
                <c:formatCode>General</c:formatCode>
                <c:ptCount val="5"/>
                <c:pt idx="0">
                  <c:v>3135</c:v>
                </c:pt>
                <c:pt idx="1">
                  <c:v>3105</c:v>
                </c:pt>
                <c:pt idx="2">
                  <c:v>2900</c:v>
                </c:pt>
                <c:pt idx="3">
                  <c:v>3070</c:v>
                </c:pt>
                <c:pt idx="4">
                  <c:v>3265</c:v>
                </c:pt>
              </c:numCache>
            </c:numRef>
          </c:val>
        </c:ser>
        <c:ser>
          <c:idx val="1"/>
          <c:order val="1"/>
          <c:tx>
            <c:strRef>
              <c:f>'Вступні кампанії 2011-2015'!$E$1</c:f>
              <c:strCache>
                <c:ptCount val="1"/>
                <c:pt idx="0">
                  <c:v>Зараховано</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dLbls>
            <c:txPr>
              <a:bodyPr/>
              <a:lstStyle/>
              <a:p>
                <a:pPr>
                  <a:defRPr>
                    <a:latin typeface="Times New Roman" pitchFamily="18" charset="0"/>
                    <a:cs typeface="Times New Roman" pitchFamily="18" charset="0"/>
                  </a:defRPr>
                </a:pPr>
                <a:endParaRPr lang="ru-RU"/>
              </a:p>
            </c:txPr>
            <c:showVal val="1"/>
          </c:dLbls>
          <c:cat>
            <c:numRef>
              <c:f>'Вступні кампанії 2011-2015'!$A$2:$A$6</c:f>
              <c:numCache>
                <c:formatCode>General</c:formatCode>
                <c:ptCount val="5"/>
                <c:pt idx="0">
                  <c:v>2011</c:v>
                </c:pt>
                <c:pt idx="1">
                  <c:v>2012</c:v>
                </c:pt>
                <c:pt idx="2">
                  <c:v>2013</c:v>
                </c:pt>
                <c:pt idx="3">
                  <c:v>2014</c:v>
                </c:pt>
                <c:pt idx="4">
                  <c:v>2015</c:v>
                </c:pt>
              </c:numCache>
            </c:numRef>
          </c:cat>
          <c:val>
            <c:numRef>
              <c:f>'Вступні кампанії 2011-2015'!$E$2:$E$6</c:f>
              <c:numCache>
                <c:formatCode>General</c:formatCode>
                <c:ptCount val="5"/>
                <c:pt idx="0">
                  <c:v>696</c:v>
                </c:pt>
                <c:pt idx="1">
                  <c:v>1265</c:v>
                </c:pt>
                <c:pt idx="2">
                  <c:v>1245</c:v>
                </c:pt>
                <c:pt idx="3">
                  <c:v>1168</c:v>
                </c:pt>
                <c:pt idx="4">
                  <c:v>1091</c:v>
                </c:pt>
              </c:numCache>
            </c:numRef>
          </c:val>
        </c:ser>
        <c:shape val="box"/>
        <c:axId val="142456704"/>
        <c:axId val="142667776"/>
        <c:axId val="0"/>
      </c:bar3DChart>
      <c:catAx>
        <c:axId val="142456704"/>
        <c:scaling>
          <c:orientation val="minMax"/>
        </c:scaling>
        <c:axPos val="b"/>
        <c:numFmt formatCode="General" sourceLinked="1"/>
        <c:tickLblPos val="nextTo"/>
        <c:crossAx val="142667776"/>
        <c:crosses val="autoZero"/>
        <c:auto val="1"/>
        <c:lblAlgn val="ctr"/>
        <c:lblOffset val="100"/>
      </c:catAx>
      <c:valAx>
        <c:axId val="142667776"/>
        <c:scaling>
          <c:orientation val="minMax"/>
        </c:scaling>
        <c:axPos val="l"/>
        <c:majorGridlines/>
        <c:numFmt formatCode="General" sourceLinked="1"/>
        <c:tickLblPos val="nextTo"/>
        <c:crossAx val="142456704"/>
        <c:crosses val="autoZero"/>
        <c:crossBetween val="between"/>
      </c:valAx>
      <c:spPr>
        <a:noFill/>
        <a:ln w="25400">
          <a:noFill/>
        </a:ln>
      </c:spPr>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noFill/>
    <a:ln w="9525" cap="flat" cmpd="sng" algn="ctr">
      <a:no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Обсяг набору на перший курс навчання спеціальності «маркетинг» за регіонами України, 2015 рік</a:t>
            </a:r>
          </a:p>
        </c:rich>
      </c:tx>
    </c:title>
    <c:view3D>
      <c:perspective val="0"/>
    </c:view3D>
    <c:plotArea>
      <c:layout>
        <c:manualLayout>
          <c:layoutTarget val="inner"/>
          <c:xMode val="edge"/>
          <c:yMode val="edge"/>
          <c:x val="9.0277210805624106E-2"/>
          <c:y val="0.35244779313797098"/>
          <c:w val="0.56977488984374025"/>
          <c:h val="0.36442909974208204"/>
        </c:manualLayout>
      </c:layout>
      <c:pie3D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Pt>
            <c:idx val="7"/>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Pt>
          <c:dPt>
            <c:idx val="8"/>
            <c:spPr>
              <a:solidFill>
                <a:srgbClr val="000080"/>
              </a:solidFill>
              <a:ln w="12700">
                <a:solidFill>
                  <a:srgbClr val="000000"/>
                </a:solidFill>
                <a:prstDash val="solid"/>
              </a:ln>
            </c:spPr>
          </c:dPt>
          <c:dPt>
            <c:idx val="9"/>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dPt>
          <c:dPt>
            <c:idx val="10"/>
            <c:spPr>
              <a:solidFill>
                <a:srgbClr val="FFFF00"/>
              </a:solidFill>
              <a:ln w="12700">
                <a:solidFill>
                  <a:srgbClr val="000000"/>
                </a:solidFill>
                <a:prstDash val="solid"/>
              </a:ln>
            </c:spPr>
          </c:dPt>
          <c:dPt>
            <c:idx val="11"/>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dPt>
          <c:dPt>
            <c:idx val="12"/>
            <c:spPr>
              <a:solidFill>
                <a:srgbClr val="800080"/>
              </a:solidFill>
              <a:ln w="12700">
                <a:solidFill>
                  <a:srgbClr val="000000"/>
                </a:solidFill>
                <a:prstDash val="solid"/>
              </a:ln>
            </c:spPr>
          </c:dPt>
          <c:dPt>
            <c:idx val="13"/>
            <c:spPr>
              <a:solidFill>
                <a:srgbClr val="800000"/>
              </a:solidFill>
              <a:ln w="12700">
                <a:solidFill>
                  <a:srgbClr val="000000"/>
                </a:solidFill>
                <a:prstDash val="solid"/>
              </a:ln>
            </c:spPr>
          </c:dPt>
          <c:dPt>
            <c:idx val="14"/>
            <c:spPr>
              <a:solidFill>
                <a:srgbClr val="008080"/>
              </a:solidFill>
              <a:ln w="12700">
                <a:solidFill>
                  <a:srgbClr val="000000"/>
                </a:solidFill>
                <a:prstDash val="solid"/>
              </a:ln>
            </c:spPr>
          </c:dPt>
          <c:dPt>
            <c:idx val="15"/>
            <c:spPr>
              <a:solidFill>
                <a:srgbClr val="0000FF"/>
              </a:solidFill>
              <a:ln w="12700">
                <a:solidFill>
                  <a:srgbClr val="000000"/>
                </a:solidFill>
                <a:prstDash val="solid"/>
              </a:ln>
            </c:spPr>
          </c:dPt>
          <c:dPt>
            <c:idx val="16"/>
            <c:spPr>
              <a:solidFill>
                <a:srgbClr val="00CCFF"/>
              </a:solidFill>
              <a:ln w="12700">
                <a:solidFill>
                  <a:srgbClr val="000000"/>
                </a:solidFill>
                <a:prstDash val="solid"/>
              </a:ln>
            </c:spPr>
          </c:dPt>
          <c:dPt>
            <c:idx val="17"/>
            <c:spPr>
              <a:solidFill>
                <a:srgbClr val="CCFFFF"/>
              </a:solidFill>
              <a:ln w="12700">
                <a:solidFill>
                  <a:srgbClr val="000000"/>
                </a:solidFill>
                <a:prstDash val="solid"/>
              </a:ln>
            </c:spPr>
          </c:dPt>
          <c:dPt>
            <c:idx val="18"/>
            <c:spPr>
              <a:solidFill>
                <a:srgbClr val="CCFFCC"/>
              </a:solidFill>
              <a:ln w="12700">
                <a:solidFill>
                  <a:srgbClr val="000000"/>
                </a:solidFill>
                <a:prstDash val="solid"/>
              </a:ln>
            </c:spPr>
          </c:dPt>
          <c:dPt>
            <c:idx val="19"/>
            <c:spPr>
              <a:solidFill>
                <a:srgbClr val="FFFF99"/>
              </a:solidFill>
              <a:ln w="12700">
                <a:solidFill>
                  <a:srgbClr val="000000"/>
                </a:solidFill>
                <a:prstDash val="solid"/>
              </a:ln>
            </c:spPr>
          </c:dPt>
          <c:dPt>
            <c:idx val="20"/>
            <c:spPr>
              <a:solidFill>
                <a:srgbClr val="99CCFF"/>
              </a:solidFill>
              <a:ln w="12700">
                <a:solidFill>
                  <a:srgbClr val="000000"/>
                </a:solidFill>
                <a:prstDash val="solid"/>
              </a:ln>
            </c:spPr>
          </c:dPt>
          <c:dPt>
            <c:idx val="21"/>
            <c:spPr>
              <a:solidFill>
                <a:srgbClr val="FF99CC"/>
              </a:solidFill>
              <a:ln w="12700">
                <a:solidFill>
                  <a:srgbClr val="000000"/>
                </a:solidFill>
                <a:prstDash val="solid"/>
              </a:ln>
            </c:spPr>
          </c:dPt>
          <c:dLbls>
            <c:dLbl>
              <c:idx val="1"/>
              <c:layout>
                <c:manualLayout>
                  <c:x val="-2.3386075659679404E-2"/>
                  <c:y val="-3.8806328141419794E-2"/>
                </c:manualLayout>
              </c:layout>
              <c:dLblPos val="bestFit"/>
              <c:showCatName val="1"/>
            </c:dLbl>
            <c:dLbl>
              <c:idx val="2"/>
              <c:layout>
                <c:manualLayout>
                  <c:x val="-6.9260985667682906E-3"/>
                  <c:y val="-3.7816352688425925E-2"/>
                </c:manualLayout>
              </c:layout>
              <c:dLblPos val="bestFit"/>
              <c:showCatName val="1"/>
            </c:dLbl>
            <c:dLbl>
              <c:idx val="4"/>
              <c:layout>
                <c:manualLayout>
                  <c:x val="-7.1659082783948072E-5"/>
                  <c:y val="-5.6102851660730306E-2"/>
                </c:manualLayout>
              </c:layout>
              <c:dLblPos val="bestFit"/>
              <c:showCatName val="1"/>
            </c:dLbl>
            <c:dLbl>
              <c:idx val="6"/>
              <c:layout>
                <c:manualLayout>
                  <c:x val="1.7555487979159515E-4"/>
                  <c:y val="-9.6109459687457877E-3"/>
                </c:manualLayout>
              </c:layout>
              <c:dLblPos val="bestFit"/>
              <c:showCatName val="1"/>
            </c:dLbl>
            <c:spPr>
              <a:noFill/>
              <a:ln w="25400">
                <a:noFill/>
              </a:ln>
            </c:spPr>
            <c:txPr>
              <a:bodyPr/>
              <a:lstStyle/>
              <a:p>
                <a:pPr>
                  <a:defRPr sz="800">
                    <a:latin typeface="Times New Roman" pitchFamily="18" charset="0"/>
                    <a:cs typeface="Times New Roman" pitchFamily="18" charset="0"/>
                  </a:defRPr>
                </a:pPr>
                <a:endParaRPr lang="ru-RU"/>
              </a:p>
            </c:txPr>
            <c:showCatName val="1"/>
            <c:showLeaderLines val="1"/>
          </c:dLbls>
          <c:cat>
            <c:strRef>
              <c:f>'2015(області)'!$A$3:$A$24</c:f>
              <c:strCache>
                <c:ptCount val="22"/>
                <c:pt idx="0">
                  <c:v>Вінницька</c:v>
                </c:pt>
                <c:pt idx="1">
                  <c:v>Волинська </c:v>
                </c:pt>
                <c:pt idx="2">
                  <c:v>Дніпропетровська</c:v>
                </c:pt>
                <c:pt idx="3">
                  <c:v>Житомирська</c:v>
                </c:pt>
                <c:pt idx="4">
                  <c:v>Закарпатська </c:v>
                </c:pt>
                <c:pt idx="5">
                  <c:v>Запоріжська</c:v>
                </c:pt>
                <c:pt idx="6">
                  <c:v>Івано-Франківська</c:v>
                </c:pt>
                <c:pt idx="7">
                  <c:v>Київська</c:v>
                </c:pt>
                <c:pt idx="8">
                  <c:v>Кіровоградська</c:v>
                </c:pt>
                <c:pt idx="9">
                  <c:v>Львівська </c:v>
                </c:pt>
                <c:pt idx="10">
                  <c:v>Миколаївська</c:v>
                </c:pt>
                <c:pt idx="11">
                  <c:v>Одеська</c:v>
                </c:pt>
                <c:pt idx="12">
                  <c:v>Полтавська</c:v>
                </c:pt>
                <c:pt idx="13">
                  <c:v>Рівненська</c:v>
                </c:pt>
                <c:pt idx="14">
                  <c:v>Сумська</c:v>
                </c:pt>
                <c:pt idx="15">
                  <c:v>Тернопільська</c:v>
                </c:pt>
                <c:pt idx="16">
                  <c:v>Харківська</c:v>
                </c:pt>
                <c:pt idx="17">
                  <c:v>Херсонська</c:v>
                </c:pt>
                <c:pt idx="18">
                  <c:v>Хмельницька</c:v>
                </c:pt>
                <c:pt idx="19">
                  <c:v>Черкаська</c:v>
                </c:pt>
                <c:pt idx="20">
                  <c:v>Чернівецька</c:v>
                </c:pt>
                <c:pt idx="21">
                  <c:v>Чернігівська</c:v>
                </c:pt>
              </c:strCache>
            </c:strRef>
          </c:cat>
          <c:val>
            <c:numRef>
              <c:f>'2015(області)'!$D$3:$D$24</c:f>
              <c:numCache>
                <c:formatCode>General</c:formatCode>
                <c:ptCount val="22"/>
                <c:pt idx="0">
                  <c:v>12</c:v>
                </c:pt>
                <c:pt idx="1">
                  <c:v>14</c:v>
                </c:pt>
                <c:pt idx="2">
                  <c:v>128</c:v>
                </c:pt>
                <c:pt idx="3">
                  <c:v>13</c:v>
                </c:pt>
                <c:pt idx="4">
                  <c:v>16</c:v>
                </c:pt>
                <c:pt idx="5">
                  <c:v>27</c:v>
                </c:pt>
                <c:pt idx="6">
                  <c:v>8</c:v>
                </c:pt>
                <c:pt idx="7">
                  <c:v>326</c:v>
                </c:pt>
                <c:pt idx="8">
                  <c:v>4</c:v>
                </c:pt>
                <c:pt idx="9">
                  <c:v>76</c:v>
                </c:pt>
                <c:pt idx="10">
                  <c:v>0</c:v>
                </c:pt>
                <c:pt idx="11">
                  <c:v>108</c:v>
                </c:pt>
                <c:pt idx="12">
                  <c:v>56</c:v>
                </c:pt>
                <c:pt idx="13">
                  <c:v>5</c:v>
                </c:pt>
                <c:pt idx="14">
                  <c:v>35</c:v>
                </c:pt>
                <c:pt idx="15">
                  <c:v>43</c:v>
                </c:pt>
                <c:pt idx="16">
                  <c:v>115</c:v>
                </c:pt>
                <c:pt idx="17">
                  <c:v>16</c:v>
                </c:pt>
                <c:pt idx="18">
                  <c:v>19</c:v>
                </c:pt>
                <c:pt idx="19">
                  <c:v>29</c:v>
                </c:pt>
                <c:pt idx="20">
                  <c:v>17</c:v>
                </c:pt>
                <c:pt idx="21">
                  <c:v>24</c:v>
                </c:pt>
              </c:numCache>
            </c:numRef>
          </c:val>
        </c:ser>
      </c:pie3DChart>
      <c:spPr>
        <a:noFill/>
        <a:ln w="25400">
          <a:noFill/>
        </a:ln>
      </c:spPr>
    </c:plotArea>
    <c:legend>
      <c:legendPos val="r"/>
      <c:layout>
        <c:manualLayout>
          <c:xMode val="edge"/>
          <c:yMode val="edge"/>
          <c:x val="0.7982182515647086"/>
          <c:y val="0.13007007690472247"/>
          <c:w val="0.19498386058236594"/>
          <c:h val="0.79873497630977996"/>
        </c:manualLayout>
      </c:layout>
      <c:spPr>
        <a:solidFill>
          <a:srgbClr val="FFFFFF"/>
        </a:solidFill>
        <a:ln w="3175">
          <a:noFill/>
          <a:prstDash val="solid"/>
        </a:ln>
      </c:spPr>
      <c:txPr>
        <a:bodyPr/>
        <a:lstStyle/>
        <a:p>
          <a:pPr>
            <a:defRPr sz="900">
              <a:latin typeface="Times New Roman" pitchFamily="18" charset="0"/>
              <a:cs typeface="Times New Roman" pitchFamily="18" charset="0"/>
            </a:defRPr>
          </a:pPr>
          <a:endParaRPr lang="ru-RU"/>
        </a:p>
      </c:txPr>
    </c:legend>
    <c:plotVisOnly val="1"/>
    <c:dispBlanksAs val="zero"/>
  </c:chart>
  <c:spPr>
    <a:solidFill>
      <a:srgbClr val="FFFFFF"/>
    </a:solidFill>
    <a:ln w="3175">
      <a:noFill/>
      <a:prstDash val="solid"/>
    </a:ln>
  </c:spPr>
  <c:txPr>
    <a:bodyPr/>
    <a:lstStyle/>
    <a:p>
      <a:pPr>
        <a:defRPr sz="1200" b="0" i="0" u="none" strike="noStrike" baseline="0">
          <a:ln>
            <a:noFill/>
          </a:ln>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a:latin typeface="Times New Roman" pitchFamily="18" charset="0"/>
                <a:cs typeface="Times New Roman" pitchFamily="18" charset="0"/>
              </a:defRPr>
            </a:pPr>
            <a:r>
              <a:rPr lang="ru-RU" sz="1200" b="0">
                <a:latin typeface="Times New Roman" pitchFamily="18" charset="0"/>
                <a:cs typeface="Times New Roman" pitchFamily="18" charset="0"/>
              </a:rPr>
              <a:t>Багатокутник конкурентоспроможності</a:t>
            </a:r>
          </a:p>
        </c:rich>
      </c:tx>
      <c:overlay val="1"/>
    </c:title>
    <c:plotArea>
      <c:layout/>
      <c:radarChart>
        <c:radarStyle val="marker"/>
        <c:ser>
          <c:idx val="0"/>
          <c:order val="0"/>
          <c:tx>
            <c:strRef>
              <c:f>Лист1!$B$1</c:f>
              <c:strCache>
                <c:ptCount val="1"/>
                <c:pt idx="0">
                  <c:v>ОНПУ</c:v>
                </c:pt>
              </c:strCache>
            </c:strRef>
          </c:tx>
          <c:spPr>
            <a:ln w="19050"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marker>
            <c:symbol val="none"/>
          </c:marker>
          <c:cat>
            <c:strRef>
              <c:f>Лист1!$A$2:$A$7</c:f>
              <c:strCache>
                <c:ptCount val="6"/>
                <c:pt idx="0">
                  <c:v>Рейтинг ВНЗ</c:v>
                </c:pt>
                <c:pt idx="1">
                  <c:v>Бюджетні місця</c:v>
                </c:pt>
                <c:pt idx="2">
                  <c:v>Вартість навчання</c:v>
                </c:pt>
                <c:pt idx="3">
                  <c:v>Гуртожиток</c:v>
                </c:pt>
                <c:pt idx="4">
                  <c:v>Викладачі</c:v>
                </c:pt>
                <c:pt idx="5">
                  <c:v>Соціальне життя</c:v>
                </c:pt>
              </c:strCache>
            </c:strRef>
          </c:cat>
          <c:val>
            <c:numRef>
              <c:f>Лист1!$B$2:$B$7</c:f>
              <c:numCache>
                <c:formatCode>General</c:formatCode>
                <c:ptCount val="6"/>
                <c:pt idx="0">
                  <c:v>10</c:v>
                </c:pt>
                <c:pt idx="1">
                  <c:v>7</c:v>
                </c:pt>
                <c:pt idx="2">
                  <c:v>9</c:v>
                </c:pt>
                <c:pt idx="3">
                  <c:v>8</c:v>
                </c:pt>
                <c:pt idx="4">
                  <c:v>10</c:v>
                </c:pt>
                <c:pt idx="5">
                  <c:v>10</c:v>
                </c:pt>
              </c:numCache>
            </c:numRef>
          </c:val>
        </c:ser>
        <c:ser>
          <c:idx val="1"/>
          <c:order val="1"/>
          <c:tx>
            <c:strRef>
              <c:f>Лист1!$C$1</c:f>
              <c:strCache>
                <c:ptCount val="1"/>
                <c:pt idx="0">
                  <c:v>ОНЕУ</c:v>
                </c:pt>
              </c:strCache>
            </c:strRef>
          </c:tx>
          <c:spPr>
            <a:ln w="19050"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marker>
            <c:symbol val="none"/>
          </c:marker>
          <c:cat>
            <c:strRef>
              <c:f>Лист1!$A$2:$A$7</c:f>
              <c:strCache>
                <c:ptCount val="6"/>
                <c:pt idx="0">
                  <c:v>Рейтинг ВНЗ</c:v>
                </c:pt>
                <c:pt idx="1">
                  <c:v>Бюджетні місця</c:v>
                </c:pt>
                <c:pt idx="2">
                  <c:v>Вартість навчання</c:v>
                </c:pt>
                <c:pt idx="3">
                  <c:v>Гуртожиток</c:v>
                </c:pt>
                <c:pt idx="4">
                  <c:v>Викладачі</c:v>
                </c:pt>
                <c:pt idx="5">
                  <c:v>Соціальне життя</c:v>
                </c:pt>
              </c:strCache>
            </c:strRef>
          </c:cat>
          <c:val>
            <c:numRef>
              <c:f>Лист1!$C$2:$C$7</c:f>
              <c:numCache>
                <c:formatCode>General</c:formatCode>
                <c:ptCount val="6"/>
                <c:pt idx="0">
                  <c:v>9</c:v>
                </c:pt>
                <c:pt idx="1">
                  <c:v>9</c:v>
                </c:pt>
                <c:pt idx="2">
                  <c:v>7</c:v>
                </c:pt>
                <c:pt idx="3">
                  <c:v>8</c:v>
                </c:pt>
                <c:pt idx="4">
                  <c:v>9</c:v>
                </c:pt>
                <c:pt idx="5">
                  <c:v>7</c:v>
                </c:pt>
              </c:numCache>
            </c:numRef>
          </c:val>
        </c:ser>
        <c:ser>
          <c:idx val="2"/>
          <c:order val="2"/>
          <c:tx>
            <c:strRef>
              <c:f>Лист1!$D$1</c:f>
              <c:strCache>
                <c:ptCount val="1"/>
                <c:pt idx="0">
                  <c:v>Одеська національна академія харчових технологій</c:v>
                </c:pt>
              </c:strCache>
            </c:strRef>
          </c:tx>
          <c:spPr>
            <a:ln w="12700"/>
          </c:spPr>
          <c:marker>
            <c:symbol val="none"/>
          </c:marker>
          <c:cat>
            <c:strRef>
              <c:f>Лист1!$A$2:$A$7</c:f>
              <c:strCache>
                <c:ptCount val="6"/>
                <c:pt idx="0">
                  <c:v>Рейтинг ВНЗ</c:v>
                </c:pt>
                <c:pt idx="1">
                  <c:v>Бюджетні місця</c:v>
                </c:pt>
                <c:pt idx="2">
                  <c:v>Вартість навчання</c:v>
                </c:pt>
                <c:pt idx="3">
                  <c:v>Гуртожиток</c:v>
                </c:pt>
                <c:pt idx="4">
                  <c:v>Викладачі</c:v>
                </c:pt>
                <c:pt idx="5">
                  <c:v>Соціальне життя</c:v>
                </c:pt>
              </c:strCache>
            </c:strRef>
          </c:cat>
          <c:val>
            <c:numRef>
              <c:f>Лист1!$D$2:$D$7</c:f>
              <c:numCache>
                <c:formatCode>General</c:formatCode>
                <c:ptCount val="6"/>
                <c:pt idx="0">
                  <c:v>8</c:v>
                </c:pt>
                <c:pt idx="1">
                  <c:v>8</c:v>
                </c:pt>
                <c:pt idx="2">
                  <c:v>8</c:v>
                </c:pt>
                <c:pt idx="3">
                  <c:v>7</c:v>
                </c:pt>
                <c:pt idx="4">
                  <c:v>8</c:v>
                </c:pt>
                <c:pt idx="5">
                  <c:v>9</c:v>
                </c:pt>
              </c:numCache>
            </c:numRef>
          </c:val>
        </c:ser>
        <c:axId val="143865728"/>
        <c:axId val="143867264"/>
      </c:radarChart>
      <c:catAx>
        <c:axId val="143865728"/>
        <c:scaling>
          <c:orientation val="minMax"/>
        </c:scaling>
        <c:axPos val="b"/>
        <c:majorGridlines/>
        <c:majorTickMark val="none"/>
        <c:tickLblPos val="nextTo"/>
        <c:spPr>
          <a:ln w="9525">
            <a:noFill/>
          </a:ln>
        </c:spPr>
        <c:txPr>
          <a:bodyPr/>
          <a:lstStyle/>
          <a:p>
            <a:pPr>
              <a:defRPr>
                <a:latin typeface="Times New Roman" pitchFamily="18" charset="0"/>
                <a:cs typeface="Times New Roman" pitchFamily="18" charset="0"/>
              </a:defRPr>
            </a:pPr>
            <a:endParaRPr lang="ru-RU"/>
          </a:p>
        </c:txPr>
        <c:crossAx val="143867264"/>
        <c:crosses val="autoZero"/>
        <c:auto val="1"/>
        <c:lblAlgn val="ctr"/>
        <c:lblOffset val="100"/>
      </c:catAx>
      <c:valAx>
        <c:axId val="143867264"/>
        <c:scaling>
          <c:orientation val="minMax"/>
        </c:scaling>
        <c:delete val="1"/>
        <c:axPos val="l"/>
        <c:majorGridlines/>
        <c:numFmt formatCode="General" sourceLinked="1"/>
        <c:tickLblPos val="none"/>
        <c:crossAx val="143865728"/>
        <c:crosses val="autoZero"/>
        <c:crossBetween val="between"/>
      </c:valAx>
      <c:spPr>
        <a:noFill/>
        <a:ln w="9525" cap="flat" cmpd="sng" algn="ctr">
          <a:noFill/>
          <a:prstDash val="solid"/>
        </a:ln>
        <a:effectLst/>
      </c:spPr>
    </c:plotArea>
    <c:legend>
      <c:legendPos val="r"/>
      <c:txPr>
        <a:bodyPr/>
        <a:lstStyle/>
        <a:p>
          <a:pPr>
            <a:defRPr>
              <a:latin typeface="Times New Roman" pitchFamily="18" charset="0"/>
              <a:cs typeface="Times New Roman" pitchFamily="18" charset="0"/>
            </a:defRPr>
          </a:pPr>
          <a:endParaRPr lang="ru-RU"/>
        </a:p>
      </c:txPr>
    </c:legend>
    <c:plotVisOnly val="1"/>
    <c:dispBlanksAs val="gap"/>
  </c:chart>
  <c:spPr>
    <a:noFill/>
    <a:ln w="9525" cap="flat" cmpd="sng" algn="ctr">
      <a:noFill/>
      <a:prstDash val="solid"/>
    </a:ln>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6989F-9783-410E-999A-BE87A243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dc:creator>
  <cp:lastModifiedBy>Михаил</cp:lastModifiedBy>
  <cp:revision>16</cp:revision>
  <dcterms:created xsi:type="dcterms:W3CDTF">2015-10-20T11:42:00Z</dcterms:created>
  <dcterms:modified xsi:type="dcterms:W3CDTF">2015-12-28T19:36:00Z</dcterms:modified>
</cp:coreProperties>
</file>